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06096" w14:textId="77777777" w:rsidR="00817FD6" w:rsidRPr="00F63AED" w:rsidRDefault="00817FD6" w:rsidP="00817FD6">
      <w:pPr>
        <w:pStyle w:val="Title"/>
        <w:jc w:val="center"/>
        <w:rPr>
          <w:rFonts w:asciiTheme="minorHAnsi" w:hAnsiTheme="minorHAnsi" w:cstheme="minorHAnsi"/>
        </w:rPr>
      </w:pPr>
      <w:r w:rsidRPr="00F63AED">
        <w:rPr>
          <w:rFonts w:asciiTheme="minorHAnsi" w:hAnsiTheme="minorHAnsi" w:cstheme="minorHAnsi"/>
          <w:noProof/>
        </w:rPr>
        <w:drawing>
          <wp:inline distT="0" distB="0" distL="0" distR="0" wp14:anchorId="4E4BCD71" wp14:editId="4D153620">
            <wp:extent cx="2856230" cy="1906270"/>
            <wp:effectExtent l="0" t="0" r="0" b="0"/>
            <wp:docPr id="1073741825" name="officeArt object" descr="Logo, icon&#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Logo, iconDescription automatically generated" descr="Logo, iconDescription automatically generated"/>
                    <pic:cNvPicPr>
                      <a:picLocks noChangeAspect="1"/>
                    </pic:cNvPicPr>
                  </pic:nvPicPr>
                  <pic:blipFill>
                    <a:blip r:embed="rId8"/>
                    <a:stretch>
                      <a:fillRect/>
                    </a:stretch>
                  </pic:blipFill>
                  <pic:spPr>
                    <a:xfrm>
                      <a:off x="0" y="0"/>
                      <a:ext cx="2856230" cy="1906270"/>
                    </a:xfrm>
                    <a:prstGeom prst="rect">
                      <a:avLst/>
                    </a:prstGeom>
                    <a:ln w="9525" cap="flat">
                      <a:solidFill>
                        <a:srgbClr val="000000"/>
                      </a:solidFill>
                      <a:prstDash val="solid"/>
                      <a:round/>
                    </a:ln>
                    <a:effectLst/>
                  </pic:spPr>
                </pic:pic>
              </a:graphicData>
            </a:graphic>
          </wp:inline>
        </w:drawing>
      </w:r>
    </w:p>
    <w:p w14:paraId="74D6159C" w14:textId="77777777" w:rsidR="00817FD6" w:rsidRPr="00F63AED" w:rsidRDefault="00817FD6" w:rsidP="00817FD6">
      <w:pPr>
        <w:pStyle w:val="Body"/>
        <w:rPr>
          <w:rFonts w:asciiTheme="minorHAnsi" w:hAnsiTheme="minorHAnsi" w:cstheme="minorHAnsi"/>
        </w:rPr>
      </w:pPr>
    </w:p>
    <w:p w14:paraId="5407E793" w14:textId="4BA5BD5F" w:rsidR="00817FD6" w:rsidRPr="00F63AED" w:rsidRDefault="00817FD6" w:rsidP="00817FD6">
      <w:pPr>
        <w:pStyle w:val="NoSpacing"/>
        <w:pBdr>
          <w:top w:val="single" w:sz="6" w:space="0" w:color="4472C4"/>
          <w:bottom w:val="single" w:sz="6" w:space="0" w:color="4472C4"/>
        </w:pBdr>
        <w:spacing w:after="240"/>
        <w:jc w:val="center"/>
        <w:rPr>
          <w:rFonts w:asciiTheme="minorHAnsi" w:eastAsia="Calibri Light" w:hAnsiTheme="minorHAnsi" w:cstheme="minorHAnsi"/>
          <w:caps/>
          <w:color w:val="4472C4"/>
          <w:sz w:val="80"/>
          <w:szCs w:val="80"/>
          <w:u w:color="4472C4"/>
        </w:rPr>
      </w:pPr>
      <w:r w:rsidRPr="00F63AED">
        <w:rPr>
          <w:rFonts w:asciiTheme="minorHAnsi" w:hAnsiTheme="minorHAnsi" w:cstheme="minorHAnsi"/>
          <w:caps/>
          <w:color w:val="4472C4"/>
          <w:sz w:val="72"/>
          <w:szCs w:val="72"/>
          <w:u w:color="4472C4"/>
        </w:rPr>
        <w:t>COLORADO CANVASSING REPORT</w:t>
      </w:r>
      <w:r>
        <w:rPr>
          <w:rFonts w:asciiTheme="minorHAnsi" w:hAnsiTheme="minorHAnsi" w:cstheme="minorHAnsi"/>
          <w:caps/>
          <w:color w:val="4472C4"/>
          <w:sz w:val="72"/>
          <w:szCs w:val="72"/>
          <w:u w:color="4472C4"/>
        </w:rPr>
        <w:t xml:space="preserve"> quick hits</w:t>
      </w:r>
    </w:p>
    <w:p w14:paraId="45FD6165" w14:textId="77777777" w:rsidR="00817FD6" w:rsidRDefault="00817FD6" w:rsidP="00817FD6">
      <w:pPr>
        <w:pStyle w:val="Subtitle"/>
        <w:jc w:val="center"/>
        <w:rPr>
          <w:rFonts w:asciiTheme="minorHAnsi" w:hAnsiTheme="minorHAnsi" w:cstheme="minorHAnsi"/>
        </w:rPr>
      </w:pPr>
      <w:r w:rsidRPr="00F63AED">
        <w:rPr>
          <w:rFonts w:asciiTheme="minorHAnsi" w:hAnsiTheme="minorHAnsi" w:cstheme="minorHAnsi"/>
        </w:rPr>
        <w:t xml:space="preserve">Results from </w:t>
      </w:r>
      <w:r>
        <w:rPr>
          <w:rFonts w:asciiTheme="minorHAnsi" w:hAnsiTheme="minorHAnsi" w:cstheme="minorHAnsi"/>
        </w:rPr>
        <w:t>Four</w:t>
      </w:r>
      <w:r w:rsidRPr="00F63AED">
        <w:rPr>
          <w:rFonts w:asciiTheme="minorHAnsi" w:hAnsiTheme="minorHAnsi" w:cstheme="minorHAnsi"/>
        </w:rPr>
        <w:t xml:space="preserve"> </w:t>
      </w:r>
      <w:r>
        <w:rPr>
          <w:rFonts w:asciiTheme="minorHAnsi" w:hAnsiTheme="minorHAnsi" w:cstheme="minorHAnsi"/>
        </w:rPr>
        <w:t>Colorado</w:t>
      </w:r>
      <w:r w:rsidRPr="00F63AED">
        <w:rPr>
          <w:rFonts w:asciiTheme="minorHAnsi" w:hAnsiTheme="minorHAnsi" w:cstheme="minorHAnsi"/>
        </w:rPr>
        <w:t xml:space="preserve"> Counties</w:t>
      </w:r>
      <w:r>
        <w:rPr>
          <w:rFonts w:asciiTheme="minorHAnsi" w:hAnsiTheme="minorHAnsi" w:cstheme="minorHAnsi"/>
        </w:rPr>
        <w:t>,</w:t>
      </w:r>
      <w:r>
        <w:t xml:space="preserve"> Comprising </w:t>
      </w:r>
      <w:r w:rsidRPr="00F63AED">
        <w:rPr>
          <w:rFonts w:asciiTheme="minorHAnsi" w:hAnsiTheme="minorHAnsi" w:cstheme="minorHAnsi"/>
        </w:rPr>
        <w:t>1.1M</w:t>
      </w:r>
      <w:r>
        <w:rPr>
          <w:rFonts w:asciiTheme="minorHAnsi" w:hAnsiTheme="minorHAnsi" w:cstheme="minorHAnsi"/>
        </w:rPr>
        <w:t>+</w:t>
      </w:r>
      <w:r w:rsidRPr="00F63AED">
        <w:rPr>
          <w:rFonts w:asciiTheme="minorHAnsi" w:hAnsiTheme="minorHAnsi" w:cstheme="minorHAnsi"/>
        </w:rPr>
        <w:t xml:space="preserve"> Voters</w:t>
      </w:r>
    </w:p>
    <w:p w14:paraId="248E2899" w14:textId="77777777" w:rsidR="00817FD6" w:rsidRPr="00C83B6A" w:rsidRDefault="00817FD6" w:rsidP="00817FD6">
      <w:pPr>
        <w:pStyle w:val="Subtitle"/>
        <w:jc w:val="center"/>
      </w:pPr>
      <w:r>
        <w:t>Implications for Colorado</w:t>
      </w:r>
    </w:p>
    <w:p w14:paraId="7CB8454D" w14:textId="77777777" w:rsidR="00817FD6" w:rsidRPr="00F63AED" w:rsidRDefault="00817FD6" w:rsidP="00817FD6">
      <w:pPr>
        <w:pStyle w:val="Author"/>
        <w:rPr>
          <w:rFonts w:asciiTheme="minorHAnsi" w:hAnsiTheme="minorHAnsi" w:cstheme="minorHAnsi"/>
        </w:rPr>
      </w:pPr>
      <w:r w:rsidRPr="00F63AED">
        <w:rPr>
          <w:rFonts w:asciiTheme="minorHAnsi" w:hAnsiTheme="minorHAnsi" w:cstheme="minorHAnsi"/>
          <w:noProof/>
        </w:rPr>
        <w:drawing>
          <wp:inline distT="0" distB="0" distL="0" distR="0" wp14:anchorId="0B9FCD82" wp14:editId="0C9BBD36">
            <wp:extent cx="949960" cy="1211580"/>
            <wp:effectExtent l="0" t="0" r="0" b="0"/>
            <wp:docPr id="1073741826" name="officeArt object"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6" name="LogoDescription automatically generated" descr="LogoDescription automatically generated"/>
                    <pic:cNvPicPr>
                      <a:picLocks noChangeAspect="1"/>
                    </pic:cNvPicPr>
                  </pic:nvPicPr>
                  <pic:blipFill>
                    <a:blip r:embed="rId9"/>
                    <a:stretch>
                      <a:fillRect/>
                    </a:stretch>
                  </pic:blipFill>
                  <pic:spPr>
                    <a:xfrm>
                      <a:off x="0" y="0"/>
                      <a:ext cx="949960" cy="1211580"/>
                    </a:xfrm>
                    <a:prstGeom prst="rect">
                      <a:avLst/>
                    </a:prstGeom>
                    <a:ln w="12700" cap="flat">
                      <a:noFill/>
                      <a:miter lim="400000"/>
                    </a:ln>
                    <a:effectLst/>
                  </pic:spPr>
                </pic:pic>
              </a:graphicData>
            </a:graphic>
          </wp:inline>
        </w:drawing>
      </w:r>
    </w:p>
    <w:p w14:paraId="4447A55E" w14:textId="42CB4A0C" w:rsidR="00817FD6" w:rsidRPr="00F63AED" w:rsidRDefault="00817FD6" w:rsidP="00817FD6">
      <w:pPr>
        <w:pStyle w:val="Date"/>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DATE \@ "MMMM d, yyyy" </w:instrText>
      </w:r>
      <w:r>
        <w:rPr>
          <w:rFonts w:asciiTheme="minorHAnsi" w:hAnsiTheme="minorHAnsi" w:cstheme="minorHAnsi"/>
        </w:rPr>
        <w:fldChar w:fldCharType="separate"/>
      </w:r>
      <w:r w:rsidR="00571B3C">
        <w:rPr>
          <w:rFonts w:asciiTheme="minorHAnsi" w:hAnsiTheme="minorHAnsi" w:cstheme="minorHAnsi"/>
          <w:noProof/>
        </w:rPr>
        <w:t>April 13, 2022</w:t>
      </w:r>
      <w:r>
        <w:rPr>
          <w:rFonts w:asciiTheme="minorHAnsi" w:hAnsiTheme="minorHAnsi" w:cstheme="minorHAnsi"/>
        </w:rPr>
        <w:fldChar w:fldCharType="end"/>
      </w:r>
      <w:r w:rsidRPr="00F63AED">
        <w:rPr>
          <w:rFonts w:asciiTheme="minorHAnsi" w:hAnsiTheme="minorHAnsi" w:cstheme="minorHAnsi"/>
        </w:rPr>
        <w:br w:type="page"/>
      </w:r>
    </w:p>
    <w:p w14:paraId="5EA8AD29" w14:textId="6240F8A8" w:rsidR="00D30251" w:rsidRPr="00C7115A" w:rsidRDefault="00D30251" w:rsidP="00D30251">
      <w:pPr>
        <w:pStyle w:val="ListParagraph"/>
        <w:numPr>
          <w:ilvl w:val="0"/>
          <w:numId w:val="4"/>
        </w:numPr>
      </w:pPr>
      <w:r w:rsidRPr="00C7115A">
        <w:rPr>
          <w:rFonts w:cstheme="minorHAnsi"/>
        </w:rPr>
        <w:lastRenderedPageBreak/>
        <w:t>The results of voter canvassing in four Colorado counties (Douglas, El Paso, Pueblo, and Weld) showed significant discrepancies and irregularities in the Colorado election records, indicating failure of safeguards to achieve the Colorado Constitution’s mandate that the general assembly secure the purity of elections and guard against abuses of the elective franchise</w:t>
      </w:r>
    </w:p>
    <w:p w14:paraId="25C96DC1" w14:textId="03C2AE63" w:rsidR="00817FD6" w:rsidRPr="00C7115A" w:rsidRDefault="00761DE7" w:rsidP="00891D13">
      <w:pPr>
        <w:pStyle w:val="ListParagraph"/>
        <w:numPr>
          <w:ilvl w:val="0"/>
          <w:numId w:val="4"/>
        </w:numPr>
      </w:pPr>
      <w:r w:rsidRPr="00C7115A">
        <w:t xml:space="preserve">9,472 voters were canvassed and 4,601 confirmed </w:t>
      </w:r>
      <w:r w:rsidR="00891D13" w:rsidRPr="00C7115A">
        <w:t xml:space="preserve">across 4 counties (El Paso, Weld, Pueblo, and Douglas) </w:t>
      </w:r>
      <w:r w:rsidRPr="00C7115A">
        <w:t>using statistical sampling</w:t>
      </w:r>
    </w:p>
    <w:p w14:paraId="33BD7179" w14:textId="1BC7359B" w:rsidR="00761DE7" w:rsidRPr="00C7115A" w:rsidRDefault="00761DE7" w:rsidP="00891D13">
      <w:pPr>
        <w:pStyle w:val="ListParagraph"/>
        <w:numPr>
          <w:ilvl w:val="0"/>
          <w:numId w:val="4"/>
        </w:numPr>
      </w:pPr>
      <w:r w:rsidRPr="00C7115A">
        <w:t>Sampling results suggest that anywhere between 5% – 11% of voters experienced an election irregularity</w:t>
      </w:r>
      <w:r w:rsidR="00D11AD8" w:rsidRPr="00C7115A">
        <w:t>/discrepancy</w:t>
      </w:r>
      <w:r w:rsidR="00891D13" w:rsidRPr="00C7115A">
        <w:t xml:space="preserve"> (which translates to a range of 56,152 to 123,852 voters across four counties)</w:t>
      </w:r>
    </w:p>
    <w:p w14:paraId="44602D23" w14:textId="044B9F28" w:rsidR="00C7115A" w:rsidRPr="00C7115A" w:rsidRDefault="00C7115A" w:rsidP="00891D13">
      <w:pPr>
        <w:pStyle w:val="ListParagraph"/>
        <w:numPr>
          <w:ilvl w:val="0"/>
          <w:numId w:val="4"/>
        </w:numPr>
      </w:pPr>
      <w:r w:rsidRPr="00C7115A">
        <w:t>If this same range is extrapolated to the entire state, then the number of voters impacted is anywhere between 210,091 and 462,201</w:t>
      </w:r>
      <w:r w:rsidR="00DF1796">
        <w:rPr>
          <w:rStyle w:val="FootnoteReference"/>
        </w:rPr>
        <w:footnoteReference w:id="1"/>
      </w:r>
    </w:p>
    <w:p w14:paraId="15D7A98A" w14:textId="51799679" w:rsidR="00761DE7" w:rsidRPr="00C7115A" w:rsidRDefault="00761DE7" w:rsidP="00891D13">
      <w:pPr>
        <w:pStyle w:val="ListParagraph"/>
        <w:numPr>
          <w:ilvl w:val="1"/>
          <w:numId w:val="4"/>
        </w:numPr>
        <w:pBdr>
          <w:top w:val="nil"/>
          <w:left w:val="nil"/>
          <w:bottom w:val="nil"/>
          <w:right w:val="nil"/>
          <w:between w:val="nil"/>
          <w:bar w:val="nil"/>
        </w:pBdr>
        <w:contextualSpacing w:val="0"/>
        <w:rPr>
          <w:rFonts w:cstheme="minorHAnsi"/>
        </w:rPr>
      </w:pPr>
      <w:r w:rsidRPr="00C7115A">
        <w:rPr>
          <w:rFonts w:cstheme="minorHAnsi"/>
        </w:rPr>
        <w:t>The most common irregularities were election law violations as explained below:</w:t>
      </w:r>
    </w:p>
    <w:p w14:paraId="312AFA18" w14:textId="2C495F3E" w:rsidR="00761DE7" w:rsidRPr="00C7115A" w:rsidRDefault="00761DE7" w:rsidP="00891D13">
      <w:pPr>
        <w:pStyle w:val="ListParagraph"/>
        <w:numPr>
          <w:ilvl w:val="2"/>
          <w:numId w:val="4"/>
        </w:numPr>
        <w:pBdr>
          <w:top w:val="nil"/>
          <w:left w:val="nil"/>
          <w:bottom w:val="nil"/>
          <w:right w:val="nil"/>
          <w:between w:val="nil"/>
          <w:bar w:val="nil"/>
        </w:pBdr>
        <w:contextualSpacing w:val="0"/>
        <w:rPr>
          <w:rFonts w:cstheme="minorHAnsi"/>
        </w:rPr>
      </w:pPr>
      <w:r w:rsidRPr="00C7115A">
        <w:rPr>
          <w:rFonts w:cstheme="minorHAnsi"/>
        </w:rPr>
        <w:t>Voter did not cast a ballot, but records indicate a ballot was cast in their name.</w:t>
      </w:r>
      <w:r w:rsidRPr="00C7115A">
        <w:rPr>
          <w:rFonts w:cstheme="minorHAnsi"/>
        </w:rPr>
        <w:br/>
        <w:t>Violation of CRS 1-13-705: "Any person who falsely personates any elector and votes at any election provided by law under the name of such elector shall be punished by a fine of not more than five thousand dollars or by imprisonment in the county jail for not more than eighteen months, or by both such fine and imprisonment."</w:t>
      </w:r>
      <w:r w:rsidRPr="00C7115A">
        <w:rPr>
          <w:rFonts w:cstheme="minorHAnsi"/>
          <w:vertAlign w:val="superscript"/>
        </w:rPr>
        <w:footnoteReference w:id="2"/>
      </w:r>
    </w:p>
    <w:p w14:paraId="58C94142" w14:textId="77777777" w:rsidR="00761DE7" w:rsidRPr="00C7115A" w:rsidRDefault="00761DE7" w:rsidP="00891D13">
      <w:pPr>
        <w:pStyle w:val="ListParagraph"/>
        <w:numPr>
          <w:ilvl w:val="2"/>
          <w:numId w:val="4"/>
        </w:numPr>
        <w:pBdr>
          <w:top w:val="nil"/>
          <w:left w:val="nil"/>
          <w:bottom w:val="nil"/>
          <w:right w:val="nil"/>
          <w:between w:val="nil"/>
          <w:bar w:val="nil"/>
        </w:pBdr>
        <w:contextualSpacing w:val="0"/>
        <w:rPr>
          <w:rFonts w:cstheme="minorHAnsi"/>
        </w:rPr>
      </w:pPr>
      <w:r w:rsidRPr="00C7115A">
        <w:rPr>
          <w:rFonts w:cstheme="minorHAnsi"/>
        </w:rPr>
        <w:t xml:space="preserve">The voter did cast a ballot, but records do not indicate a ballot was cast. </w:t>
      </w:r>
      <w:r w:rsidRPr="00C7115A">
        <w:rPr>
          <w:rFonts w:cstheme="minorHAnsi"/>
        </w:rPr>
        <w:br/>
        <w:t>Violation of CRS 1-13-723: "Every officer upon whom any duty is imposed by any election law who violates his duty or who neglects or omits to perform the same is guilty of a misdemeanor and, upon conviction thereof, shall be punished as provided in section 1-13-111."</w:t>
      </w:r>
      <w:r w:rsidRPr="00C7115A">
        <w:rPr>
          <w:rFonts w:cstheme="minorHAnsi"/>
          <w:vertAlign w:val="superscript"/>
        </w:rPr>
        <w:footnoteReference w:id="3"/>
      </w:r>
    </w:p>
    <w:p w14:paraId="3BD97950" w14:textId="77777777" w:rsidR="00761DE7" w:rsidRPr="00C7115A" w:rsidRDefault="00761DE7" w:rsidP="00891D13">
      <w:pPr>
        <w:pStyle w:val="ListParagraph"/>
        <w:numPr>
          <w:ilvl w:val="2"/>
          <w:numId w:val="4"/>
        </w:numPr>
        <w:pBdr>
          <w:top w:val="nil"/>
          <w:left w:val="nil"/>
          <w:bottom w:val="nil"/>
          <w:right w:val="nil"/>
          <w:between w:val="nil"/>
          <w:bar w:val="nil"/>
        </w:pBdr>
        <w:contextualSpacing w:val="0"/>
        <w:rPr>
          <w:rFonts w:cstheme="minorHAnsi"/>
        </w:rPr>
      </w:pPr>
      <w:r w:rsidRPr="00C7115A">
        <w:rPr>
          <w:rFonts w:cstheme="minorHAnsi"/>
        </w:rPr>
        <w:t>The voter did not live at the address at the time of the 2020 election.</w:t>
      </w:r>
      <w:r w:rsidRPr="00C7115A">
        <w:rPr>
          <w:rFonts w:cstheme="minorHAnsi"/>
        </w:rPr>
        <w:br/>
        <w:t>Violation of CRS 1-2-228: "Any person who votes by knowingly giving false information regarding the elector's place of present residence commits a class 6 felony and shall be punished as provided in section 18-1.3-401, CRS."</w:t>
      </w:r>
      <w:r w:rsidRPr="00C7115A">
        <w:rPr>
          <w:rFonts w:cstheme="minorHAnsi"/>
          <w:vertAlign w:val="superscript"/>
        </w:rPr>
        <w:footnoteReference w:id="4"/>
      </w:r>
    </w:p>
    <w:p w14:paraId="3D8AD7AE" w14:textId="408E93CC" w:rsidR="00761DE7" w:rsidRPr="00C7115A" w:rsidRDefault="00761DE7" w:rsidP="00891D13">
      <w:pPr>
        <w:pStyle w:val="ListParagraph"/>
        <w:numPr>
          <w:ilvl w:val="2"/>
          <w:numId w:val="4"/>
        </w:numPr>
        <w:pBdr>
          <w:top w:val="nil"/>
          <w:left w:val="nil"/>
          <w:bottom w:val="nil"/>
          <w:right w:val="nil"/>
          <w:between w:val="nil"/>
          <w:bar w:val="nil"/>
        </w:pBdr>
        <w:contextualSpacing w:val="0"/>
        <w:rPr>
          <w:rFonts w:cstheme="minorHAnsi"/>
        </w:rPr>
      </w:pPr>
      <w:r w:rsidRPr="00C7115A">
        <w:rPr>
          <w:rFonts w:cstheme="minorHAnsi"/>
        </w:rPr>
        <w:t>Voter's party affiliation changed without their authorization.</w:t>
      </w:r>
      <w:r w:rsidRPr="00C7115A">
        <w:rPr>
          <w:rFonts w:cstheme="minorHAnsi"/>
        </w:rPr>
        <w:br/>
        <w:t>Violation of CRS 1-2-218.5: "The declaration of affiliation of each registered elector shall remain as recorded in the registration record until the elector changes or withdraws his or her affiliation."</w:t>
      </w:r>
      <w:r w:rsidRPr="00C7115A">
        <w:rPr>
          <w:rFonts w:cstheme="minorHAnsi"/>
          <w:vertAlign w:val="superscript"/>
        </w:rPr>
        <w:footnoteReference w:id="5"/>
      </w:r>
    </w:p>
    <w:p w14:paraId="38C8CBE8" w14:textId="5CCA1411" w:rsidR="00761DE7" w:rsidRPr="00C7115A" w:rsidRDefault="00761DE7" w:rsidP="00891D13">
      <w:pPr>
        <w:pStyle w:val="ListParagraph"/>
        <w:numPr>
          <w:ilvl w:val="1"/>
          <w:numId w:val="4"/>
        </w:numPr>
        <w:pBdr>
          <w:top w:val="nil"/>
          <w:left w:val="nil"/>
          <w:bottom w:val="nil"/>
          <w:right w:val="nil"/>
          <w:between w:val="nil"/>
          <w:bar w:val="nil"/>
        </w:pBdr>
        <w:contextualSpacing w:val="0"/>
        <w:rPr>
          <w:rFonts w:cstheme="minorHAnsi"/>
        </w:rPr>
      </w:pPr>
      <w:r w:rsidRPr="00C7115A">
        <w:rPr>
          <w:rFonts w:cstheme="minorHAnsi"/>
        </w:rPr>
        <w:t xml:space="preserve">The second most common irregularity was that a voter did </w:t>
      </w:r>
      <w:r w:rsidR="00891D13" w:rsidRPr="00C7115A">
        <w:rPr>
          <w:rFonts w:cstheme="minorHAnsi"/>
        </w:rPr>
        <w:t xml:space="preserve">not </w:t>
      </w:r>
      <w:r w:rsidRPr="00C7115A">
        <w:rPr>
          <w:rFonts w:cstheme="minorHAnsi"/>
        </w:rPr>
        <w:t>reside at an address that is officially documented in the registration database</w:t>
      </w:r>
      <w:r w:rsidR="00891D13" w:rsidRPr="00C7115A">
        <w:rPr>
          <w:rFonts w:cstheme="minorHAnsi"/>
        </w:rPr>
        <w:t xml:space="preserve"> during canvassing, but the registration database still reflected that </w:t>
      </w:r>
      <w:r w:rsidR="00D30251" w:rsidRPr="00C7115A">
        <w:rPr>
          <w:rFonts w:cstheme="minorHAnsi"/>
        </w:rPr>
        <w:t xml:space="preserve">the </w:t>
      </w:r>
      <w:r w:rsidR="00891D13" w:rsidRPr="00C7115A">
        <w:rPr>
          <w:rFonts w:cstheme="minorHAnsi"/>
        </w:rPr>
        <w:t xml:space="preserve">voter </w:t>
      </w:r>
      <w:r w:rsidR="00A74954" w:rsidRPr="00C7115A">
        <w:rPr>
          <w:rFonts w:cstheme="minorHAnsi"/>
        </w:rPr>
        <w:t>was</w:t>
      </w:r>
      <w:r w:rsidR="00891D13" w:rsidRPr="00C7115A">
        <w:rPr>
          <w:rFonts w:cstheme="minorHAnsi"/>
        </w:rPr>
        <w:t xml:space="preserve"> living at the address as of December 2021</w:t>
      </w:r>
    </w:p>
    <w:p w14:paraId="7B2F8CEC" w14:textId="0DC603FF" w:rsidR="00891D13" w:rsidRPr="00C7115A" w:rsidRDefault="00891D13" w:rsidP="00891D13">
      <w:pPr>
        <w:pStyle w:val="ListParagraph"/>
        <w:numPr>
          <w:ilvl w:val="2"/>
          <w:numId w:val="4"/>
        </w:numPr>
        <w:pBdr>
          <w:top w:val="nil"/>
          <w:left w:val="nil"/>
          <w:bottom w:val="nil"/>
          <w:right w:val="nil"/>
          <w:between w:val="nil"/>
          <w:bar w:val="nil"/>
        </w:pBdr>
        <w:contextualSpacing w:val="0"/>
        <w:rPr>
          <w:rFonts w:cstheme="minorHAnsi"/>
        </w:rPr>
      </w:pPr>
      <w:r w:rsidRPr="00C7115A">
        <w:rPr>
          <w:rFonts w:cstheme="minorHAnsi"/>
        </w:rPr>
        <w:t>This is concerning because these voters potentially received incorrect precinct ballots and impacted races and measures that they shouldn’t have.</w:t>
      </w:r>
    </w:p>
    <w:p w14:paraId="0093F547" w14:textId="3CC4CED0" w:rsidR="00D11AD8" w:rsidRPr="00C7115A" w:rsidRDefault="00D11AD8" w:rsidP="00D11AD8">
      <w:pPr>
        <w:pStyle w:val="ListParagraph"/>
        <w:numPr>
          <w:ilvl w:val="0"/>
          <w:numId w:val="4"/>
        </w:numPr>
        <w:pBdr>
          <w:top w:val="nil"/>
          <w:left w:val="nil"/>
          <w:bottom w:val="nil"/>
          <w:right w:val="nil"/>
          <w:between w:val="nil"/>
          <w:bar w:val="nil"/>
        </w:pBdr>
        <w:contextualSpacing w:val="0"/>
        <w:rPr>
          <w:rFonts w:cstheme="minorHAnsi"/>
        </w:rPr>
      </w:pPr>
      <w:r w:rsidRPr="00C7115A">
        <w:rPr>
          <w:rFonts w:cstheme="minorHAnsi"/>
        </w:rPr>
        <w:t>El Paso County had the highest</w:t>
      </w:r>
      <w:r w:rsidRPr="00C7115A">
        <w:t xml:space="preserve"> irregularity/discrepancy rate that ranged from 7.5% to 13.5% (which translates to a range of 54,359 to 69,829</w:t>
      </w:r>
      <w:r w:rsidR="00D30251" w:rsidRPr="00C7115A">
        <w:t xml:space="preserve"> voters</w:t>
      </w:r>
      <w:r w:rsidRPr="00C7115A">
        <w:t>)</w:t>
      </w:r>
      <w:r w:rsidR="00D30251" w:rsidRPr="00C7115A">
        <w:t>.</w:t>
      </w:r>
    </w:p>
    <w:p w14:paraId="0904E1A8" w14:textId="5C75C0E9" w:rsidR="00817FD6" w:rsidRPr="00C7115A" w:rsidRDefault="00817FD6" w:rsidP="00891D13">
      <w:pPr>
        <w:pStyle w:val="ListParagraph"/>
        <w:numPr>
          <w:ilvl w:val="0"/>
          <w:numId w:val="4"/>
        </w:numPr>
      </w:pPr>
      <w:r w:rsidRPr="00C7115A">
        <w:t>Using the results of the canvassing-discovered irregularities as a proxy for the entire state indicates that 7-12% of all election races and measures on Colorado's November 2020 ballots may be questionable</w:t>
      </w:r>
      <w:r w:rsidRPr="00C7115A">
        <w:rPr>
          <w:rFonts w:cstheme="minorHAnsi"/>
        </w:rPr>
        <w:t>.</w:t>
      </w:r>
      <w:r w:rsidRPr="00C7115A">
        <w:rPr>
          <w:rStyle w:val="FootnoteReference"/>
          <w:rFonts w:cstheme="minorHAnsi"/>
        </w:rPr>
        <w:footnoteReference w:id="6"/>
      </w:r>
      <w:r w:rsidRPr="00C7115A">
        <w:rPr>
          <w:rFonts w:cstheme="minorHAnsi"/>
        </w:rPr>
        <w:t xml:space="preserve">  </w:t>
      </w:r>
    </w:p>
    <w:sectPr w:rsidR="00817FD6" w:rsidRPr="00C7115A" w:rsidSect="002B6CE5">
      <w:pgSz w:w="12240" w:h="15840"/>
      <w:pgMar w:top="504" w:right="504" w:bottom="504" w:left="50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F3F7E" w14:textId="77777777" w:rsidR="00D41A0B" w:rsidRDefault="00D41A0B" w:rsidP="00817FD6">
      <w:pPr>
        <w:spacing w:after="0" w:line="240" w:lineRule="auto"/>
      </w:pPr>
      <w:r>
        <w:separator/>
      </w:r>
    </w:p>
  </w:endnote>
  <w:endnote w:type="continuationSeparator" w:id="0">
    <w:p w14:paraId="081B4DB6" w14:textId="77777777" w:rsidR="00D41A0B" w:rsidRDefault="00D41A0B" w:rsidP="00817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C444C" w14:textId="77777777" w:rsidR="00D41A0B" w:rsidRDefault="00D41A0B" w:rsidP="00817FD6">
      <w:pPr>
        <w:spacing w:after="0" w:line="240" w:lineRule="auto"/>
      </w:pPr>
      <w:r>
        <w:separator/>
      </w:r>
    </w:p>
  </w:footnote>
  <w:footnote w:type="continuationSeparator" w:id="0">
    <w:p w14:paraId="371EA1B1" w14:textId="77777777" w:rsidR="00D41A0B" w:rsidRDefault="00D41A0B" w:rsidP="00817FD6">
      <w:pPr>
        <w:spacing w:after="0" w:line="240" w:lineRule="auto"/>
      </w:pPr>
      <w:r>
        <w:continuationSeparator/>
      </w:r>
    </w:p>
  </w:footnote>
  <w:footnote w:id="1">
    <w:p w14:paraId="642586FD" w14:textId="3624745A" w:rsidR="00DF1796" w:rsidRDefault="00DF1796">
      <w:pPr>
        <w:pStyle w:val="FootnoteText"/>
      </w:pPr>
      <w:r>
        <w:rPr>
          <w:rStyle w:val="FootnoteReference"/>
        </w:rPr>
        <w:footnoteRef/>
      </w:r>
      <w:r>
        <w:t xml:space="preserve"> This is based on extrapolation from the December 2020 registration file which includes </w:t>
      </w:r>
      <w:r w:rsidRPr="00DF1796">
        <w:t>4</w:t>
      </w:r>
      <w:r>
        <w:t>,</w:t>
      </w:r>
      <w:r w:rsidRPr="00DF1796">
        <w:t>201</w:t>
      </w:r>
      <w:r>
        <w:t>,</w:t>
      </w:r>
      <w:r w:rsidRPr="00DF1796">
        <w:t>827</w:t>
      </w:r>
      <w:r>
        <w:t xml:space="preserve"> registered voters</w:t>
      </w:r>
    </w:p>
  </w:footnote>
  <w:footnote w:id="2">
    <w:p w14:paraId="746A8178" w14:textId="77777777" w:rsidR="00761DE7" w:rsidRPr="000A1B86" w:rsidRDefault="00761DE7" w:rsidP="00761DE7">
      <w:pPr>
        <w:pStyle w:val="FootnoteText"/>
        <w:rPr>
          <w:sz w:val="18"/>
          <w:szCs w:val="18"/>
        </w:rPr>
      </w:pPr>
      <w:r w:rsidRPr="000A1B86">
        <w:rPr>
          <w:sz w:val="18"/>
          <w:szCs w:val="18"/>
          <w:vertAlign w:val="superscript"/>
        </w:rPr>
        <w:footnoteRef/>
      </w:r>
      <w:r w:rsidRPr="000A1B86">
        <w:rPr>
          <w:sz w:val="18"/>
          <w:szCs w:val="18"/>
        </w:rPr>
        <w:t xml:space="preserve"> </w:t>
      </w:r>
      <w:hyperlink r:id="rId1" w:history="1">
        <w:r w:rsidRPr="000A1B86">
          <w:rPr>
            <w:rStyle w:val="Hyperlink"/>
            <w:sz w:val="18"/>
            <w:szCs w:val="18"/>
          </w:rPr>
          <w:t>https://codes.findlaw.com/co/title-1-elections/co-rev-st-sect-1-13-705.html</w:t>
        </w:r>
      </w:hyperlink>
    </w:p>
  </w:footnote>
  <w:footnote w:id="3">
    <w:p w14:paraId="34F5CC36" w14:textId="77777777" w:rsidR="00761DE7" w:rsidRPr="000A1B86" w:rsidRDefault="00761DE7" w:rsidP="00761DE7">
      <w:pPr>
        <w:pStyle w:val="FootnoteText"/>
        <w:rPr>
          <w:sz w:val="18"/>
          <w:szCs w:val="18"/>
        </w:rPr>
      </w:pPr>
      <w:r w:rsidRPr="000A1B86">
        <w:rPr>
          <w:sz w:val="18"/>
          <w:szCs w:val="18"/>
          <w:vertAlign w:val="superscript"/>
        </w:rPr>
        <w:footnoteRef/>
      </w:r>
      <w:r w:rsidRPr="000A1B86">
        <w:rPr>
          <w:rFonts w:eastAsia="Arial Unicode MS" w:cs="Arial Unicode MS"/>
          <w:sz w:val="18"/>
          <w:szCs w:val="18"/>
        </w:rPr>
        <w:t xml:space="preserve"> </w:t>
      </w:r>
      <w:hyperlink r:id="rId2" w:history="1">
        <w:r w:rsidRPr="000A1B86">
          <w:rPr>
            <w:rStyle w:val="Hyperlink"/>
            <w:rFonts w:eastAsia="Arial Unicode MS" w:cs="Arial Unicode MS"/>
            <w:sz w:val="18"/>
            <w:szCs w:val="18"/>
          </w:rPr>
          <w:t>https://codes.findlaw.com/co/title-1-elections/co-rev-st-sect-1-13-723.html</w:t>
        </w:r>
      </w:hyperlink>
    </w:p>
  </w:footnote>
  <w:footnote w:id="4">
    <w:p w14:paraId="54A7F195" w14:textId="77777777" w:rsidR="00761DE7" w:rsidRPr="000A1B86" w:rsidRDefault="00761DE7" w:rsidP="00761DE7">
      <w:pPr>
        <w:pStyle w:val="FootnoteText"/>
        <w:rPr>
          <w:sz w:val="18"/>
          <w:szCs w:val="18"/>
        </w:rPr>
      </w:pPr>
      <w:r w:rsidRPr="000A1B86">
        <w:rPr>
          <w:sz w:val="18"/>
          <w:szCs w:val="18"/>
          <w:vertAlign w:val="superscript"/>
        </w:rPr>
        <w:footnoteRef/>
      </w:r>
      <w:r w:rsidRPr="000A1B86">
        <w:rPr>
          <w:rFonts w:eastAsia="Arial Unicode MS" w:cs="Arial Unicode MS"/>
          <w:sz w:val="18"/>
          <w:szCs w:val="18"/>
        </w:rPr>
        <w:t xml:space="preserve"> </w:t>
      </w:r>
      <w:hyperlink r:id="rId3" w:history="1">
        <w:r w:rsidRPr="000A1B86">
          <w:rPr>
            <w:rStyle w:val="Hyperlink"/>
            <w:rFonts w:eastAsia="Arial Unicode MS" w:cs="Arial Unicode MS"/>
            <w:sz w:val="18"/>
            <w:szCs w:val="18"/>
          </w:rPr>
          <w:t>https://codes.findlaw.com/co/title-1-elections/co-rev-st-sect-1-2-228.html</w:t>
        </w:r>
      </w:hyperlink>
    </w:p>
  </w:footnote>
  <w:footnote w:id="5">
    <w:p w14:paraId="49EBC349" w14:textId="77777777" w:rsidR="00761DE7" w:rsidRPr="000A1B86" w:rsidRDefault="00761DE7" w:rsidP="00761DE7">
      <w:pPr>
        <w:pStyle w:val="FootnoteText"/>
        <w:rPr>
          <w:sz w:val="18"/>
          <w:szCs w:val="18"/>
        </w:rPr>
      </w:pPr>
      <w:r w:rsidRPr="000A1B86">
        <w:rPr>
          <w:sz w:val="18"/>
          <w:szCs w:val="18"/>
          <w:vertAlign w:val="superscript"/>
        </w:rPr>
        <w:footnoteRef/>
      </w:r>
      <w:r w:rsidRPr="000A1B86">
        <w:rPr>
          <w:rFonts w:eastAsia="Arial Unicode MS" w:cs="Arial Unicode MS"/>
          <w:sz w:val="18"/>
          <w:szCs w:val="18"/>
        </w:rPr>
        <w:t xml:space="preserve"> </w:t>
      </w:r>
      <w:hyperlink r:id="rId4" w:history="1">
        <w:r w:rsidRPr="000A1B86">
          <w:rPr>
            <w:rStyle w:val="Hyperlink"/>
            <w:rFonts w:eastAsia="Arial Unicode MS" w:cs="Arial Unicode MS"/>
            <w:sz w:val="18"/>
            <w:szCs w:val="18"/>
          </w:rPr>
          <w:t>https://codes.findlaw.com/co/title-1-elections/co-rev-st-sect-1-2-218-5.html</w:t>
        </w:r>
      </w:hyperlink>
    </w:p>
  </w:footnote>
  <w:footnote w:id="6">
    <w:p w14:paraId="1F6FE322" w14:textId="77777777" w:rsidR="00817FD6" w:rsidRPr="000A1B86" w:rsidRDefault="00817FD6" w:rsidP="00817FD6">
      <w:pPr>
        <w:pStyle w:val="FootnoteText"/>
        <w:rPr>
          <w:sz w:val="18"/>
          <w:szCs w:val="18"/>
        </w:rPr>
      </w:pPr>
      <w:r w:rsidRPr="000A1B86">
        <w:rPr>
          <w:rStyle w:val="FootnoteReference"/>
          <w:sz w:val="18"/>
          <w:szCs w:val="18"/>
        </w:rPr>
        <w:footnoteRef/>
      </w:r>
      <w:r w:rsidRPr="000A1B86">
        <w:rPr>
          <w:sz w:val="18"/>
          <w:szCs w:val="18"/>
        </w:rPr>
        <w:t xml:space="preserve"> This is based on </w:t>
      </w:r>
      <w:r>
        <w:rPr>
          <w:sz w:val="18"/>
          <w:szCs w:val="18"/>
        </w:rPr>
        <w:t>all ballot measures</w:t>
      </w:r>
      <w:r w:rsidRPr="000A1B86">
        <w:rPr>
          <w:sz w:val="18"/>
          <w:szCs w:val="18"/>
        </w:rPr>
        <w:t xml:space="preserve"> </w:t>
      </w:r>
      <w:r>
        <w:rPr>
          <w:sz w:val="18"/>
          <w:szCs w:val="18"/>
        </w:rPr>
        <w:t xml:space="preserve">and </w:t>
      </w:r>
      <w:r w:rsidRPr="000A1B86">
        <w:rPr>
          <w:sz w:val="18"/>
          <w:szCs w:val="18"/>
        </w:rPr>
        <w:t>races where only a single candidate could win.</w:t>
      </w:r>
      <w:r>
        <w:rPr>
          <w:sz w:val="18"/>
          <w:szCs w:val="18"/>
        </w:rPr>
        <w:t xml:space="preserve">  The races and measures in question are those with margins of failure or pass that were less than the estimated ballot irregularity rates.</w:t>
      </w:r>
      <w:r w:rsidRPr="000A1B86">
        <w:rPr>
          <w:sz w:val="18"/>
          <w:szCs w:val="18"/>
        </w:rPr>
        <w:t xml:space="preserve"> </w:t>
      </w:r>
      <w:r>
        <w:rPr>
          <w:sz w:val="18"/>
          <w:szCs w:val="18"/>
        </w:rPr>
        <w:t>Calculations of these numbers available upon request.  Data r</w:t>
      </w:r>
      <w:r w:rsidRPr="000A1B86">
        <w:rPr>
          <w:sz w:val="18"/>
          <w:szCs w:val="18"/>
        </w:rPr>
        <w:t xml:space="preserve">etrieved from: </w:t>
      </w:r>
      <w:hyperlink r:id="rId5" w:history="1">
        <w:r w:rsidRPr="000A1B86">
          <w:rPr>
            <w:rStyle w:val="Hyperlink"/>
            <w:sz w:val="18"/>
            <w:szCs w:val="18"/>
          </w:rPr>
          <w:t>https://results.enr.clarityelections.com//CO//105975/276916/reports/summary.zip</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94D1F"/>
    <w:multiLevelType w:val="hybridMultilevel"/>
    <w:tmpl w:val="E1922164"/>
    <w:styleLink w:val="ImportedStyle1"/>
    <w:lvl w:ilvl="0" w:tplc="609226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3587F0E">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C08EA8B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3B834AA">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E45E9A02">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ADC04D5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FFAE2B6">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0CAEE1D6">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76BC7B1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D977EF9"/>
    <w:multiLevelType w:val="hybridMultilevel"/>
    <w:tmpl w:val="E624A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1B46D7"/>
    <w:multiLevelType w:val="hybridMultilevel"/>
    <w:tmpl w:val="E1922164"/>
    <w:numStyleLink w:val="ImportedStyle1"/>
  </w:abstractNum>
  <w:abstractNum w:abstractNumId="3" w15:restartNumberingAfterBreak="0">
    <w:nsid w:val="62510A08"/>
    <w:multiLevelType w:val="hybridMultilevel"/>
    <w:tmpl w:val="F47249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5555334">
    <w:abstractNumId w:val="3"/>
  </w:num>
  <w:num w:numId="2" w16cid:durableId="481427915">
    <w:abstractNumId w:val="0"/>
  </w:num>
  <w:num w:numId="3" w16cid:durableId="673384542">
    <w:abstractNumId w:val="2"/>
  </w:num>
  <w:num w:numId="4" w16cid:durableId="14700535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Q0Nzc1szC0MDe0NDBX0lEKTi0uzszPAykwrgUAUYoorSwAAAA="/>
  </w:docVars>
  <w:rsids>
    <w:rsidRoot w:val="00817FD6"/>
    <w:rsid w:val="000E03DE"/>
    <w:rsid w:val="002B6CE5"/>
    <w:rsid w:val="00571B3C"/>
    <w:rsid w:val="00761DE7"/>
    <w:rsid w:val="00817FD6"/>
    <w:rsid w:val="00891D13"/>
    <w:rsid w:val="008F1D4F"/>
    <w:rsid w:val="00A2252D"/>
    <w:rsid w:val="00A74954"/>
    <w:rsid w:val="00C7115A"/>
    <w:rsid w:val="00D11AD8"/>
    <w:rsid w:val="00D268D1"/>
    <w:rsid w:val="00D30251"/>
    <w:rsid w:val="00D41A0B"/>
    <w:rsid w:val="00DF1796"/>
    <w:rsid w:val="00EA2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A8DE8"/>
  <w15:chartTrackingRefBased/>
  <w15:docId w15:val="{EAC0BA9F-28F8-4684-8BDE-E41AB3B3E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Body"/>
    <w:link w:val="TitleChar"/>
    <w:uiPriority w:val="10"/>
    <w:qFormat/>
    <w:rsid w:val="00817FD6"/>
    <w:pPr>
      <w:pBdr>
        <w:top w:val="nil"/>
        <w:left w:val="nil"/>
        <w:bottom w:val="nil"/>
        <w:right w:val="nil"/>
        <w:between w:val="nil"/>
        <w:bar w:val="nil"/>
      </w:pBdr>
      <w:spacing w:after="0" w:line="240" w:lineRule="auto"/>
    </w:pPr>
    <w:rPr>
      <w:rFonts w:ascii="Calibri Light" w:eastAsia="Arial Unicode MS" w:hAnsi="Calibri Light" w:cs="Arial Unicode MS"/>
      <w:color w:val="000000"/>
      <w:spacing w:val="-10"/>
      <w:kern w:val="28"/>
      <w:sz w:val="56"/>
      <w:szCs w:val="56"/>
      <w:u w:color="000000"/>
      <w:bdr w:val="nil"/>
      <w14:textOutline w14:w="0" w14:cap="flat" w14:cmpd="sng" w14:algn="ctr">
        <w14:noFill/>
        <w14:prstDash w14:val="solid"/>
        <w14:bevel/>
      </w14:textOutline>
    </w:rPr>
  </w:style>
  <w:style w:type="character" w:customStyle="1" w:styleId="TitleChar">
    <w:name w:val="Title Char"/>
    <w:basedOn w:val="DefaultParagraphFont"/>
    <w:link w:val="Title"/>
    <w:uiPriority w:val="10"/>
    <w:rsid w:val="00817FD6"/>
    <w:rPr>
      <w:rFonts w:ascii="Calibri Light" w:eastAsia="Arial Unicode MS" w:hAnsi="Calibri Light" w:cs="Arial Unicode MS"/>
      <w:color w:val="000000"/>
      <w:spacing w:val="-10"/>
      <w:kern w:val="28"/>
      <w:sz w:val="56"/>
      <w:szCs w:val="56"/>
      <w:u w:color="000000"/>
      <w:bdr w:val="nil"/>
      <w14:textOutline w14:w="0" w14:cap="flat" w14:cmpd="sng" w14:algn="ctr">
        <w14:noFill/>
        <w14:prstDash w14:val="solid"/>
        <w14:bevel/>
      </w14:textOutline>
    </w:rPr>
  </w:style>
  <w:style w:type="paragraph" w:customStyle="1" w:styleId="Body">
    <w:name w:val="Body"/>
    <w:rsid w:val="00817FD6"/>
    <w:pPr>
      <w:pBdr>
        <w:top w:val="nil"/>
        <w:left w:val="nil"/>
        <w:bottom w:val="nil"/>
        <w:right w:val="nil"/>
        <w:between w:val="nil"/>
        <w:bar w:val="nil"/>
      </w:pBdr>
    </w:pPr>
    <w:rPr>
      <w:rFonts w:ascii="Calibri" w:eastAsia="Arial Unicode MS" w:hAnsi="Calibri" w:cs="Arial Unicode MS"/>
      <w:color w:val="000000"/>
      <w:u w:color="000000"/>
      <w:bdr w:val="nil"/>
      <w14:textOutline w14:w="0" w14:cap="flat" w14:cmpd="sng" w14:algn="ctr">
        <w14:noFill/>
        <w14:prstDash w14:val="solid"/>
        <w14:bevel/>
      </w14:textOutline>
    </w:rPr>
  </w:style>
  <w:style w:type="paragraph" w:styleId="NoSpacing">
    <w:name w:val="No Spacing"/>
    <w:rsid w:val="00817FD6"/>
    <w:pPr>
      <w:pBdr>
        <w:top w:val="nil"/>
        <w:left w:val="nil"/>
        <w:bottom w:val="nil"/>
        <w:right w:val="nil"/>
        <w:between w:val="nil"/>
        <w:bar w:val="nil"/>
      </w:pBdr>
      <w:spacing w:after="0" w:line="240" w:lineRule="auto"/>
    </w:pPr>
    <w:rPr>
      <w:rFonts w:ascii="Calibri" w:eastAsia="Arial Unicode MS" w:hAnsi="Calibri" w:cs="Arial Unicode MS"/>
      <w:color w:val="000000"/>
      <w:u w:color="000000"/>
      <w:bdr w:val="nil"/>
    </w:rPr>
  </w:style>
  <w:style w:type="paragraph" w:styleId="Subtitle">
    <w:name w:val="Subtitle"/>
    <w:next w:val="Body"/>
    <w:link w:val="SubtitleChar"/>
    <w:uiPriority w:val="11"/>
    <w:qFormat/>
    <w:rsid w:val="00817FD6"/>
    <w:pPr>
      <w:pBdr>
        <w:top w:val="nil"/>
        <w:left w:val="nil"/>
        <w:bottom w:val="nil"/>
        <w:right w:val="nil"/>
        <w:between w:val="nil"/>
        <w:bar w:val="nil"/>
      </w:pBdr>
    </w:pPr>
    <w:rPr>
      <w:rFonts w:ascii="Calibri" w:eastAsia="Calibri" w:hAnsi="Calibri" w:cs="Calibri"/>
      <w:color w:val="5A5A5A"/>
      <w:spacing w:val="15"/>
      <w:u w:color="5A5A5A"/>
      <w:bdr w:val="nil"/>
      <w14:textOutline w14:w="0" w14:cap="flat" w14:cmpd="sng" w14:algn="ctr">
        <w14:noFill/>
        <w14:prstDash w14:val="solid"/>
        <w14:bevel/>
      </w14:textOutline>
    </w:rPr>
  </w:style>
  <w:style w:type="character" w:customStyle="1" w:styleId="SubtitleChar">
    <w:name w:val="Subtitle Char"/>
    <w:basedOn w:val="DefaultParagraphFont"/>
    <w:link w:val="Subtitle"/>
    <w:uiPriority w:val="11"/>
    <w:rsid w:val="00817FD6"/>
    <w:rPr>
      <w:rFonts w:ascii="Calibri" w:eastAsia="Calibri" w:hAnsi="Calibri" w:cs="Calibri"/>
      <w:color w:val="5A5A5A"/>
      <w:spacing w:val="15"/>
      <w:u w:color="5A5A5A"/>
      <w:bdr w:val="nil"/>
      <w14:textOutline w14:w="0" w14:cap="flat" w14:cmpd="sng" w14:algn="ctr">
        <w14:noFill/>
        <w14:prstDash w14:val="solid"/>
        <w14:bevel/>
      </w14:textOutline>
    </w:rPr>
  </w:style>
  <w:style w:type="paragraph" w:customStyle="1" w:styleId="Author">
    <w:name w:val="Author"/>
    <w:next w:val="BodyText"/>
    <w:rsid w:val="00817FD6"/>
    <w:pPr>
      <w:keepNext/>
      <w:keepLines/>
      <w:pBdr>
        <w:top w:val="nil"/>
        <w:left w:val="nil"/>
        <w:bottom w:val="nil"/>
        <w:right w:val="nil"/>
        <w:between w:val="nil"/>
        <w:bar w:val="nil"/>
      </w:pBdr>
      <w:spacing w:after="200" w:line="240" w:lineRule="auto"/>
      <w:jc w:val="center"/>
    </w:pPr>
    <w:rPr>
      <w:rFonts w:ascii="Calibri" w:eastAsia="Calibri" w:hAnsi="Calibri" w:cs="Calibri"/>
      <w:color w:val="000000"/>
      <w:sz w:val="24"/>
      <w:szCs w:val="24"/>
      <w:u w:color="000000"/>
      <w:bdr w:val="nil"/>
    </w:rPr>
  </w:style>
  <w:style w:type="paragraph" w:styleId="Date">
    <w:name w:val="Date"/>
    <w:next w:val="BodyText"/>
    <w:link w:val="DateChar"/>
    <w:rsid w:val="00817FD6"/>
    <w:pPr>
      <w:keepNext/>
      <w:keepLines/>
      <w:pBdr>
        <w:top w:val="nil"/>
        <w:left w:val="nil"/>
        <w:bottom w:val="nil"/>
        <w:right w:val="nil"/>
        <w:between w:val="nil"/>
        <w:bar w:val="nil"/>
      </w:pBdr>
      <w:spacing w:after="200" w:line="240" w:lineRule="auto"/>
      <w:jc w:val="center"/>
    </w:pPr>
    <w:rPr>
      <w:rFonts w:ascii="Calibri" w:eastAsia="Arial Unicode MS" w:hAnsi="Calibri" w:cs="Arial Unicode MS"/>
      <w:color w:val="000000"/>
      <w:sz w:val="24"/>
      <w:szCs w:val="24"/>
      <w:u w:color="000000"/>
      <w:bdr w:val="nil"/>
    </w:rPr>
  </w:style>
  <w:style w:type="character" w:customStyle="1" w:styleId="DateChar">
    <w:name w:val="Date Char"/>
    <w:basedOn w:val="DefaultParagraphFont"/>
    <w:link w:val="Date"/>
    <w:rsid w:val="00817FD6"/>
    <w:rPr>
      <w:rFonts w:ascii="Calibri" w:eastAsia="Arial Unicode MS" w:hAnsi="Calibri" w:cs="Arial Unicode MS"/>
      <w:color w:val="000000"/>
      <w:sz w:val="24"/>
      <w:szCs w:val="24"/>
      <w:u w:color="000000"/>
      <w:bdr w:val="nil"/>
    </w:rPr>
  </w:style>
  <w:style w:type="paragraph" w:styleId="BodyText">
    <w:name w:val="Body Text"/>
    <w:basedOn w:val="Normal"/>
    <w:link w:val="BodyTextChar"/>
    <w:uiPriority w:val="99"/>
    <w:semiHidden/>
    <w:unhideWhenUsed/>
    <w:rsid w:val="00817FD6"/>
    <w:pPr>
      <w:spacing w:after="120"/>
    </w:pPr>
  </w:style>
  <w:style w:type="character" w:customStyle="1" w:styleId="BodyTextChar">
    <w:name w:val="Body Text Char"/>
    <w:basedOn w:val="DefaultParagraphFont"/>
    <w:link w:val="BodyText"/>
    <w:uiPriority w:val="99"/>
    <w:semiHidden/>
    <w:rsid w:val="00817FD6"/>
  </w:style>
  <w:style w:type="character" w:styleId="Hyperlink">
    <w:name w:val="Hyperlink"/>
    <w:uiPriority w:val="99"/>
    <w:rsid w:val="00817FD6"/>
    <w:rPr>
      <w:u w:val="single"/>
    </w:rPr>
  </w:style>
  <w:style w:type="paragraph" w:styleId="FootnoteText">
    <w:name w:val="footnote text"/>
    <w:link w:val="FootnoteTextChar"/>
    <w:rsid w:val="00817FD6"/>
    <w:pPr>
      <w:pBdr>
        <w:top w:val="nil"/>
        <w:left w:val="nil"/>
        <w:bottom w:val="nil"/>
        <w:right w:val="nil"/>
        <w:between w:val="nil"/>
        <w:bar w:val="nil"/>
      </w:pBdr>
      <w:spacing w:after="0" w:line="240" w:lineRule="auto"/>
    </w:pPr>
    <w:rPr>
      <w:rFonts w:ascii="Calibri" w:eastAsia="Calibri" w:hAnsi="Calibri" w:cs="Calibri"/>
      <w:color w:val="000000"/>
      <w:sz w:val="20"/>
      <w:szCs w:val="20"/>
      <w:u w:color="000000"/>
      <w:bdr w:val="nil"/>
    </w:rPr>
  </w:style>
  <w:style w:type="character" w:customStyle="1" w:styleId="FootnoteTextChar">
    <w:name w:val="Footnote Text Char"/>
    <w:basedOn w:val="DefaultParagraphFont"/>
    <w:link w:val="FootnoteText"/>
    <w:rsid w:val="00817FD6"/>
    <w:rPr>
      <w:rFonts w:ascii="Calibri" w:eastAsia="Calibri" w:hAnsi="Calibri" w:cs="Calibri"/>
      <w:color w:val="000000"/>
      <w:sz w:val="20"/>
      <w:szCs w:val="20"/>
      <w:u w:color="000000"/>
      <w:bdr w:val="nil"/>
    </w:rPr>
  </w:style>
  <w:style w:type="character" w:styleId="FootnoteReference">
    <w:name w:val="footnote reference"/>
    <w:basedOn w:val="DefaultParagraphFont"/>
    <w:uiPriority w:val="99"/>
    <w:semiHidden/>
    <w:unhideWhenUsed/>
    <w:rsid w:val="00817FD6"/>
    <w:rPr>
      <w:vertAlign w:val="superscript"/>
    </w:rPr>
  </w:style>
  <w:style w:type="paragraph" w:styleId="ListParagraph">
    <w:name w:val="List Paragraph"/>
    <w:basedOn w:val="Normal"/>
    <w:qFormat/>
    <w:rsid w:val="00817FD6"/>
    <w:pPr>
      <w:ind w:left="720"/>
      <w:contextualSpacing/>
    </w:pPr>
  </w:style>
  <w:style w:type="numbering" w:customStyle="1" w:styleId="ImportedStyle1">
    <w:name w:val="Imported Style 1"/>
    <w:rsid w:val="00761DE7"/>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codes.findlaw.com/co/title-1-elections/co-rev-st-sect-1-2-228.html" TargetMode="External"/><Relationship Id="rId2" Type="http://schemas.openxmlformats.org/officeDocument/2006/relationships/hyperlink" Target="https://codes.findlaw.com/co/title-1-elections/co-rev-st-sect-1-13-723.html" TargetMode="External"/><Relationship Id="rId1" Type="http://schemas.openxmlformats.org/officeDocument/2006/relationships/hyperlink" Target="https://codes.findlaw.com/co/title-1-elections/co-rev-st-sect-1-13-705.html" TargetMode="External"/><Relationship Id="rId5" Type="http://schemas.openxmlformats.org/officeDocument/2006/relationships/hyperlink" Target="https://results.enr.clarityelections.com/CO/105975/276916/reports/summary.zip" TargetMode="External"/><Relationship Id="rId4" Type="http://schemas.openxmlformats.org/officeDocument/2006/relationships/hyperlink" Target="https://codes.findlaw.com/co/title-1-elections/co-rev-st-sect-1-2-218-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87B81B-A6B8-46F7-B0FC-E9A3520B7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473</Words>
  <Characters>2700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Young</dc:creator>
  <cp:keywords/>
  <dc:description/>
  <cp:lastModifiedBy>Amy Grant</cp:lastModifiedBy>
  <cp:revision>2</cp:revision>
  <dcterms:created xsi:type="dcterms:W3CDTF">2022-04-13T19:24:00Z</dcterms:created>
  <dcterms:modified xsi:type="dcterms:W3CDTF">2022-04-13T19:24:00Z</dcterms:modified>
</cp:coreProperties>
</file>