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02D4" w14:textId="0E2FAEB6" w:rsidR="002F2777" w:rsidRPr="003A16C4" w:rsidRDefault="00854199" w:rsidP="006D63BE">
      <w:pPr>
        <w:spacing w:after="120"/>
        <w:rPr>
          <w:b/>
          <w:bCs/>
          <w:sz w:val="28"/>
          <w:szCs w:val="36"/>
        </w:rPr>
      </w:pPr>
      <w:r w:rsidRPr="003A16C4">
        <w:rPr>
          <w:b/>
          <w:bCs/>
          <w:sz w:val="28"/>
          <w:szCs w:val="36"/>
        </w:rPr>
        <w:t>Machine</w:t>
      </w:r>
      <w:r w:rsidR="00823269" w:rsidRPr="003A16C4">
        <w:rPr>
          <w:b/>
          <w:bCs/>
          <w:sz w:val="28"/>
          <w:szCs w:val="36"/>
        </w:rPr>
        <w:t xml:space="preserve"> </w:t>
      </w:r>
      <w:r w:rsidR="007D2E67">
        <w:rPr>
          <w:b/>
          <w:bCs/>
          <w:sz w:val="28"/>
          <w:szCs w:val="36"/>
        </w:rPr>
        <w:t xml:space="preserve">Public </w:t>
      </w:r>
      <w:r w:rsidR="00823269" w:rsidRPr="003A16C4">
        <w:rPr>
          <w:b/>
          <w:bCs/>
          <w:sz w:val="28"/>
          <w:szCs w:val="36"/>
        </w:rPr>
        <w:t>Test Watch</w:t>
      </w:r>
      <w:r w:rsidR="00F604FB" w:rsidRPr="003A16C4">
        <w:rPr>
          <w:b/>
          <w:bCs/>
          <w:sz w:val="28"/>
          <w:szCs w:val="36"/>
        </w:rPr>
        <w:t xml:space="preserve"> (Incident Report)</w:t>
      </w:r>
    </w:p>
    <w:p w14:paraId="5F7C5CA6" w14:textId="77777777" w:rsidR="00D0492A" w:rsidRDefault="002F2777" w:rsidP="004E2CDA">
      <w:r w:rsidRPr="005C7CF2">
        <w:rPr>
          <w:b/>
          <w:bCs/>
        </w:rPr>
        <w:t xml:space="preserve">Instructions: </w:t>
      </w:r>
      <w:r w:rsidR="00D0492A">
        <w:t xml:space="preserve">The 8/28/2022, Election Law defines "automatic tabulating equipment" as the apparatus necessary to examine and automatically count votes. We use the acronym “ATE” to refer to these tabulators. </w:t>
      </w:r>
      <w:r w:rsidR="00DC7DE0">
        <w:t>Public testing</w:t>
      </w:r>
      <w:r w:rsidR="00EF7969">
        <w:t xml:space="preserve"> events</w:t>
      </w:r>
      <w:r w:rsidR="00DC7DE0">
        <w:t xml:space="preserve"> of </w:t>
      </w:r>
      <w:r w:rsidR="00D0492A">
        <w:t>ATE(s)</w:t>
      </w:r>
      <w:r w:rsidR="00EF7969">
        <w:t xml:space="preserve">, to which the public </w:t>
      </w:r>
      <w:r w:rsidR="00EA047E">
        <w:t>and candidates are</w:t>
      </w:r>
      <w:r w:rsidR="00EF7969">
        <w:t xml:space="preserve"> invited,</w:t>
      </w:r>
      <w:r w:rsidR="001B4796">
        <w:t xml:space="preserve"> </w:t>
      </w:r>
      <w:r w:rsidR="00D07A9E">
        <w:t xml:space="preserve">are held </w:t>
      </w:r>
      <w:r w:rsidR="00EF7969">
        <w:t>before and after</w:t>
      </w:r>
      <w:r w:rsidR="002F0D93">
        <w:t xml:space="preserve"> election</w:t>
      </w:r>
      <w:r w:rsidR="00DC7DE0">
        <w:t>s</w:t>
      </w:r>
      <w:r w:rsidR="00823269">
        <w:t xml:space="preserve">. </w:t>
      </w:r>
    </w:p>
    <w:p w14:paraId="5E063933" w14:textId="12263999" w:rsidR="004E2CDA" w:rsidRDefault="004E2CDA" w:rsidP="004E2CDA">
      <w:r>
        <w:t xml:space="preserve">We used the </w:t>
      </w:r>
      <w:r w:rsidRPr="0016136D">
        <w:rPr>
          <w:i/>
          <w:iCs/>
        </w:rPr>
        <w:t>“Voting Equipment Checklist”</w:t>
      </w:r>
      <w:r>
        <w:t xml:space="preserve"> published by the MO Secretary of State’s office to create most incident topics on this report. The </w:t>
      </w:r>
      <w:r>
        <w:t>diamond icon (</w:t>
      </w:r>
      <w:r>
        <w:rPr>
          <w:rFonts w:ascii="Cambria Math" w:hAnsi="Cambria Math" w:cs="Cambria Math"/>
        </w:rPr>
        <w:t>◈</w:t>
      </w:r>
      <w:r>
        <w:t>) in an Incident description denotes the corresponding item in the SOS Checklist.</w:t>
      </w:r>
    </w:p>
    <w:p w14:paraId="26B908D7" w14:textId="77777777" w:rsidR="00D0492A" w:rsidRDefault="00823269" w:rsidP="00EA047E">
      <w:r>
        <w:t xml:space="preserve">An errorless count </w:t>
      </w:r>
      <w:r w:rsidR="00D07A9E">
        <w:t xml:space="preserve">by each </w:t>
      </w:r>
      <w:r w:rsidR="00D0492A">
        <w:t>ATE</w:t>
      </w:r>
      <w:r w:rsidR="00D07A9E">
        <w:t xml:space="preserve"> </w:t>
      </w:r>
      <w:r w:rsidR="00B31808">
        <w:t xml:space="preserve">during the testing </w:t>
      </w:r>
      <w:r w:rsidR="001B4796">
        <w:t xml:space="preserve">is </w:t>
      </w:r>
      <w:r>
        <w:t xml:space="preserve">required before </w:t>
      </w:r>
      <w:r w:rsidR="00B31808">
        <w:t>the machine</w:t>
      </w:r>
      <w:r w:rsidR="00A906B4">
        <w:t xml:space="preserve"> can be </w:t>
      </w:r>
      <w:r>
        <w:t>approved for use in the</w:t>
      </w:r>
      <w:r w:rsidR="001B4796">
        <w:t xml:space="preserve"> upcoming election</w:t>
      </w:r>
      <w:r>
        <w:t>.</w:t>
      </w:r>
      <w:r w:rsidR="00DC7DE0">
        <w:t xml:space="preserve"> After the test, the </w:t>
      </w:r>
      <w:r w:rsidR="00D0492A">
        <w:t>ATE(s)</w:t>
      </w:r>
      <w:r w:rsidR="00DC7DE0">
        <w:t xml:space="preserve"> are to be held securely so there can be no tampering.</w:t>
      </w:r>
      <w:r w:rsidR="004E2CDA">
        <w:t xml:space="preserve"> </w:t>
      </w:r>
    </w:p>
    <w:p w14:paraId="56065528" w14:textId="05A75230" w:rsidR="0016136D" w:rsidRDefault="0016136D" w:rsidP="00EA047E">
      <w:r>
        <w:t xml:space="preserve">View the </w:t>
      </w:r>
      <w:r w:rsidR="00EA047E">
        <w:t xml:space="preserve">training </w:t>
      </w:r>
      <w:r>
        <w:t xml:space="preserve">video </w:t>
      </w:r>
      <w:r w:rsidR="00EA047E">
        <w:t xml:space="preserve">for </w:t>
      </w:r>
      <w:r>
        <w:t>this</w:t>
      </w:r>
      <w:r w:rsidR="00EA047E">
        <w:t xml:space="preserve"> Project, </w:t>
      </w:r>
      <w:r w:rsidR="00D0492A">
        <w:t>and download</w:t>
      </w:r>
      <w:r w:rsidR="00EA047E">
        <w:t xml:space="preserve"> the Incident Report form and the SOS Checklist</w:t>
      </w:r>
      <w:r w:rsidR="00B31808">
        <w:t>,</w:t>
      </w:r>
      <w:r w:rsidR="00EA047E">
        <w:t xml:space="preserve"> at </w:t>
      </w:r>
      <w:hyperlink r:id="rId7" w:history="1">
        <w:r w:rsidR="00EA047E" w:rsidRPr="00EA047E">
          <w:rPr>
            <w:rStyle w:val="Hyperlink"/>
          </w:rPr>
          <w:t>Frankspeech.com/video/training-missouri-election-watch-machine-public-testing</w:t>
        </w:r>
      </w:hyperlink>
    </w:p>
    <w:p w14:paraId="2C693727" w14:textId="77777777" w:rsidR="00001FD2" w:rsidRDefault="00001FD2" w:rsidP="00001FD2">
      <w:pPr>
        <w:sectPr w:rsidR="00001FD2" w:rsidSect="00B100CA">
          <w:footerReference w:type="default" r:id="rId8"/>
          <w:pgSz w:w="12240" w:h="15840"/>
          <w:pgMar w:top="432" w:right="432" w:bottom="432" w:left="432" w:header="432" w:footer="432" w:gutter="0"/>
          <w:cols w:num="2" w:space="720"/>
          <w:docGrid w:linePitch="360"/>
        </w:sectPr>
      </w:pPr>
    </w:p>
    <w:tbl>
      <w:tblPr>
        <w:tblStyle w:val="TableGrid"/>
        <w:tblW w:w="5299" w:type="dxa"/>
        <w:tblLook w:val="04A0" w:firstRow="1" w:lastRow="0" w:firstColumn="1" w:lastColumn="0" w:noHBand="0" w:noVBand="1"/>
      </w:tblPr>
      <w:tblGrid>
        <w:gridCol w:w="1123"/>
        <w:gridCol w:w="4176"/>
      </w:tblGrid>
      <w:tr w:rsidR="00815992" w14:paraId="14F57235" w14:textId="77777777" w:rsidTr="009B2A65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19B637" w14:textId="26B0DCBB" w:rsidR="00815992" w:rsidRPr="006D63BE" w:rsidRDefault="00815992" w:rsidP="008F07B0">
            <w:pPr>
              <w:rPr>
                <w:rStyle w:val="SubtleReference"/>
              </w:rPr>
            </w:pPr>
            <w:r w:rsidRPr="006D63BE">
              <w:rPr>
                <w:rStyle w:val="SubtleReference"/>
              </w:rPr>
              <w:t>Your Role</w:t>
            </w:r>
          </w:p>
        </w:tc>
      </w:tr>
      <w:tr w:rsidR="00D879FC" w14:paraId="752FEA64" w14:textId="77777777" w:rsidTr="009B2A65">
        <w:tc>
          <w:tcPr>
            <w:tcW w:w="1123" w:type="dxa"/>
            <w:tcBorders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52C242" w14:textId="70E4EB3A" w:rsidR="00D879FC" w:rsidRDefault="00180F1E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Pr="007177A1">
              <w:rPr>
                <w:rStyle w:val="BoxselectorChar"/>
              </w:rPr>
              <w:t>1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.0</w:t>
            </w:r>
          </w:p>
        </w:tc>
        <w:tc>
          <w:tcPr>
            <w:tcW w:w="4176" w:type="dxa"/>
            <w:tcBorders>
              <w:lef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66F5880" w14:textId="11C648B0" w:rsidR="00192E0D" w:rsidRDefault="00D879FC" w:rsidP="00192E0D">
            <w:pPr>
              <w:pStyle w:val="Boxselector"/>
            </w:pPr>
            <w:r>
              <w:t>□</w:t>
            </w:r>
            <w:r w:rsidR="00501B16">
              <w:tab/>
            </w:r>
            <w:r>
              <w:t>Candidate for office</w:t>
            </w:r>
            <w:r w:rsidR="00192E0D">
              <w:tab/>
              <w:t>□ Concerned Citizen</w:t>
            </w:r>
          </w:p>
          <w:p w14:paraId="28DD2A1E" w14:textId="34008DBD" w:rsidR="00D879FC" w:rsidRDefault="00D879FC" w:rsidP="00501B16">
            <w:pPr>
              <w:pStyle w:val="Boxselector"/>
            </w:pPr>
            <w:r>
              <w:t>□</w:t>
            </w:r>
            <w:r w:rsidR="00501B16">
              <w:tab/>
            </w:r>
            <w:r>
              <w:t>Election Worker</w:t>
            </w:r>
            <w:r w:rsidR="00192E0D">
              <w:tab/>
              <w:t>□ Other</w:t>
            </w:r>
          </w:p>
          <w:p w14:paraId="5175A5E7" w14:textId="144A66B3" w:rsidR="00D879FC" w:rsidRDefault="00D879FC" w:rsidP="00192E0D">
            <w:pPr>
              <w:pStyle w:val="Boxselector"/>
            </w:pPr>
            <w:r>
              <w:t>□</w:t>
            </w:r>
            <w:r w:rsidR="00501B16">
              <w:tab/>
            </w:r>
            <w:r>
              <w:t>Election Official</w:t>
            </w:r>
          </w:p>
        </w:tc>
      </w:tr>
      <w:tr w:rsidR="00815992" w14:paraId="67A1F997" w14:textId="77777777" w:rsidTr="009B2A65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5BBA0D1" w14:textId="01183B5F" w:rsidR="00815992" w:rsidRPr="006D63BE" w:rsidRDefault="00BD2199" w:rsidP="00927BE5">
            <w:pPr>
              <w:rPr>
                <w:rStyle w:val="SubtleReference"/>
              </w:rPr>
            </w:pPr>
            <w:r>
              <w:rPr>
                <w:rStyle w:val="SubtleReference"/>
              </w:rPr>
              <w:t>Automatic Tabulating Equipment (ATE)</w:t>
            </w:r>
            <w:r w:rsidR="00815992" w:rsidRPr="006D63BE">
              <w:rPr>
                <w:rStyle w:val="SubtleReference"/>
              </w:rPr>
              <w:t xml:space="preserve"> Info</w:t>
            </w:r>
          </w:p>
        </w:tc>
      </w:tr>
      <w:tr w:rsidR="00D879FC" w14:paraId="045E7FEE" w14:textId="77777777" w:rsidTr="009B2A65">
        <w:tc>
          <w:tcPr>
            <w:tcW w:w="1123" w:type="dxa"/>
            <w:tcBorders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DCA21A9" w14:textId="1920F47A" w:rsidR="00D879FC" w:rsidRDefault="00180F1E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2.0</w:t>
            </w:r>
          </w:p>
        </w:tc>
        <w:tc>
          <w:tcPr>
            <w:tcW w:w="4176" w:type="dxa"/>
            <w:tcBorders>
              <w:lef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4E42BF8" w14:textId="197217AA" w:rsidR="00D879FC" w:rsidRDefault="00B064FC" w:rsidP="00C0771D">
            <w:r>
              <w:rPr>
                <w:b/>
                <w:bCs/>
              </w:rPr>
              <w:t>Manufacturer</w:t>
            </w:r>
            <w:r w:rsidR="00D879FC" w:rsidRPr="00C04B11">
              <w:rPr>
                <w:b/>
                <w:bCs/>
              </w:rPr>
              <w:t xml:space="preserve"> of </w:t>
            </w:r>
            <w:r w:rsidR="00BD2199">
              <w:rPr>
                <w:b/>
                <w:bCs/>
              </w:rPr>
              <w:t>ATE(s)</w:t>
            </w:r>
            <w:r w:rsidR="00097272">
              <w:rPr>
                <w:b/>
                <w:bCs/>
              </w:rPr>
              <w:t xml:space="preserve"> used in county</w:t>
            </w:r>
          </w:p>
          <w:p w14:paraId="32A6E781" w14:textId="77777777" w:rsidR="000F39D1" w:rsidRDefault="00D879FC" w:rsidP="000F39D1">
            <w:r>
              <w:rPr>
                <w:rFonts w:ascii="Segoe UI Emoji" w:hAnsi="Segoe UI Emoji"/>
              </w:rPr>
              <w:t xml:space="preserve">□ </w:t>
            </w:r>
            <w:proofErr w:type="spellStart"/>
            <w:r>
              <w:t>AccuPoll</w:t>
            </w:r>
            <w:proofErr w:type="spellEnd"/>
            <w:r w:rsidR="000F39D1">
              <w:tab/>
            </w:r>
            <w:r w:rsidR="000F39D1">
              <w:tab/>
            </w:r>
            <w:r w:rsidR="000F39D1">
              <w:rPr>
                <w:rFonts w:ascii="Segoe UI Emoji" w:hAnsi="Segoe UI Emoji"/>
              </w:rPr>
              <w:t xml:space="preserve">□ </w:t>
            </w:r>
            <w:r w:rsidR="000F39D1">
              <w:t xml:space="preserve">Hart </w:t>
            </w:r>
            <w:proofErr w:type="spellStart"/>
            <w:r w:rsidR="000F39D1">
              <w:t>InterCivic</w:t>
            </w:r>
            <w:proofErr w:type="spellEnd"/>
          </w:p>
          <w:p w14:paraId="0E759138" w14:textId="77777777" w:rsidR="000F7A5B" w:rsidRDefault="00D879FC" w:rsidP="000F7A5B">
            <w:r>
              <w:rPr>
                <w:rFonts w:ascii="Segoe UI Emoji" w:hAnsi="Segoe UI Emoji"/>
              </w:rPr>
              <w:t xml:space="preserve">□ </w:t>
            </w:r>
            <w:r>
              <w:t>Diebold</w:t>
            </w:r>
            <w:r w:rsidR="000F7A5B">
              <w:tab/>
            </w:r>
            <w:r w:rsidR="000F7A5B">
              <w:tab/>
            </w:r>
            <w:r w:rsidR="000F7A5B">
              <w:rPr>
                <w:rFonts w:ascii="Segoe UI Emoji" w:hAnsi="Segoe UI Emoji"/>
              </w:rPr>
              <w:t xml:space="preserve">□ </w:t>
            </w:r>
            <w:proofErr w:type="spellStart"/>
            <w:r w:rsidR="000F7A5B">
              <w:t>Populex</w:t>
            </w:r>
            <w:proofErr w:type="spellEnd"/>
          </w:p>
          <w:p w14:paraId="37CB4BC8" w14:textId="77777777" w:rsidR="000F7A5B" w:rsidRDefault="00D879FC" w:rsidP="000F7A5B">
            <w:r>
              <w:rPr>
                <w:rFonts w:ascii="Segoe UI Emoji" w:hAnsi="Segoe UI Emoji"/>
              </w:rPr>
              <w:t xml:space="preserve">□ </w:t>
            </w:r>
            <w:r>
              <w:t>Dominion</w:t>
            </w:r>
            <w:r w:rsidR="000F7A5B">
              <w:tab/>
            </w:r>
            <w:r w:rsidR="000F7A5B">
              <w:tab/>
            </w:r>
            <w:r w:rsidR="000F7A5B">
              <w:rPr>
                <w:rFonts w:ascii="Segoe UI Emoji" w:hAnsi="Segoe UI Emoji"/>
              </w:rPr>
              <w:t xml:space="preserve">□ </w:t>
            </w:r>
            <w:r w:rsidR="000F7A5B">
              <w:t>Sequoia</w:t>
            </w:r>
          </w:p>
          <w:p w14:paraId="28BCD199" w14:textId="77777777" w:rsidR="000F7A5B" w:rsidRDefault="00D879FC" w:rsidP="000F7A5B">
            <w:r>
              <w:rPr>
                <w:rFonts w:ascii="Segoe UI Emoji" w:hAnsi="Segoe UI Emoji"/>
              </w:rPr>
              <w:t xml:space="preserve">□ </w:t>
            </w:r>
            <w:r>
              <w:t>ES&amp;S</w:t>
            </w:r>
            <w:r w:rsidR="000F7A5B">
              <w:tab/>
            </w:r>
            <w:r w:rsidR="000F7A5B">
              <w:tab/>
            </w:r>
            <w:r w:rsidR="000F7A5B">
              <w:tab/>
            </w:r>
            <w:r w:rsidR="000F7A5B">
              <w:rPr>
                <w:rFonts w:ascii="Segoe UI Emoji" w:hAnsi="Segoe UI Emoji"/>
              </w:rPr>
              <w:t xml:space="preserve">□ </w:t>
            </w:r>
            <w:proofErr w:type="spellStart"/>
            <w:r w:rsidR="000F7A5B">
              <w:t>Unisyn</w:t>
            </w:r>
            <w:proofErr w:type="spellEnd"/>
          </w:p>
          <w:p w14:paraId="50F2C72A" w14:textId="3568A79D" w:rsidR="00180F1E" w:rsidRDefault="00180F1E" w:rsidP="00C0771D">
            <w:pPr>
              <w:rPr>
                <w:b/>
                <w:bCs/>
              </w:rPr>
            </w:pPr>
          </w:p>
          <w:p w14:paraId="0AF30522" w14:textId="6613211B" w:rsidR="00B064FC" w:rsidRDefault="00B064FC" w:rsidP="00C0771D">
            <w:pPr>
              <w:rPr>
                <w:b/>
                <w:bCs/>
              </w:rPr>
            </w:pPr>
            <w:r>
              <w:rPr>
                <w:b/>
                <w:bCs/>
              </w:rPr>
              <w:t>Model(s): ____________________</w:t>
            </w:r>
            <w:r w:rsidR="00234745">
              <w:rPr>
                <w:b/>
                <w:bCs/>
              </w:rPr>
              <w:t>___</w:t>
            </w:r>
            <w:r>
              <w:rPr>
                <w:b/>
                <w:bCs/>
              </w:rPr>
              <w:t>___________</w:t>
            </w:r>
          </w:p>
          <w:p w14:paraId="32B019EC" w14:textId="28DF4768" w:rsidR="00B064FC" w:rsidRDefault="00B064FC" w:rsidP="00C0771D">
            <w:pPr>
              <w:rPr>
                <w:b/>
                <w:bCs/>
              </w:rPr>
            </w:pPr>
          </w:p>
          <w:p w14:paraId="18C31E00" w14:textId="6347C54A" w:rsidR="00B064FC" w:rsidRDefault="00B064FC" w:rsidP="00C0771D">
            <w:pPr>
              <w:rPr>
                <w:b/>
                <w:bCs/>
              </w:rPr>
            </w:pPr>
            <w:r>
              <w:rPr>
                <w:b/>
                <w:bCs/>
              </w:rPr>
              <w:t>Version(s): ______________________</w:t>
            </w:r>
            <w:r w:rsidR="00234745">
              <w:rPr>
                <w:b/>
                <w:bCs/>
              </w:rPr>
              <w:t>___</w:t>
            </w:r>
            <w:r>
              <w:rPr>
                <w:b/>
                <w:bCs/>
              </w:rPr>
              <w:t>________</w:t>
            </w:r>
          </w:p>
          <w:p w14:paraId="0E55E3C9" w14:textId="77777777" w:rsidR="00B064FC" w:rsidRDefault="00B064FC" w:rsidP="00C0771D">
            <w:pPr>
              <w:rPr>
                <w:b/>
                <w:bCs/>
              </w:rPr>
            </w:pPr>
          </w:p>
          <w:p w14:paraId="6E7A055E" w14:textId="41CADB3B" w:rsidR="00B064FC" w:rsidRPr="00B064FC" w:rsidRDefault="00D879FC" w:rsidP="00C0771D">
            <w:pPr>
              <w:rPr>
                <w:b/>
                <w:bCs/>
              </w:rPr>
            </w:pPr>
            <w:r w:rsidRPr="00C04B11">
              <w:rPr>
                <w:b/>
                <w:bCs/>
              </w:rPr>
              <w:t xml:space="preserve"># </w:t>
            </w:r>
            <w:proofErr w:type="gramStart"/>
            <w:r w:rsidRPr="00C04B11">
              <w:rPr>
                <w:b/>
                <w:bCs/>
              </w:rPr>
              <w:t>of</w:t>
            </w:r>
            <w:proofErr w:type="gramEnd"/>
            <w:r w:rsidRPr="00C04B11">
              <w:rPr>
                <w:b/>
                <w:bCs/>
              </w:rPr>
              <w:t xml:space="preserve"> </w:t>
            </w:r>
            <w:r w:rsidR="00BD2199">
              <w:rPr>
                <w:b/>
                <w:bCs/>
              </w:rPr>
              <w:t>ATE(s)</w:t>
            </w:r>
            <w:r w:rsidRPr="00C04B11">
              <w:rPr>
                <w:b/>
                <w:bCs/>
              </w:rPr>
              <w:t xml:space="preserve"> tested</w:t>
            </w:r>
            <w:r w:rsidR="00180F1E">
              <w:rPr>
                <w:b/>
                <w:bCs/>
              </w:rPr>
              <w:t>:  ___________</w:t>
            </w:r>
            <w:r w:rsidR="00B064FC">
              <w:rPr>
                <w:b/>
                <w:bCs/>
              </w:rPr>
              <w:t>_____</w:t>
            </w:r>
            <w:r w:rsidR="007506DE">
              <w:rPr>
                <w:b/>
                <w:bCs/>
              </w:rPr>
              <w:t xml:space="preserve"> (all?)</w:t>
            </w:r>
          </w:p>
        </w:tc>
      </w:tr>
      <w:tr w:rsidR="00387E8B" w14:paraId="7F5DA51B" w14:textId="77777777" w:rsidTr="009B2A65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AE79E0F" w14:textId="0426E428" w:rsidR="00387E8B" w:rsidRPr="006D63BE" w:rsidRDefault="00387E8B" w:rsidP="00927BE5">
            <w:pPr>
              <w:rPr>
                <w:rStyle w:val="SubtleReference"/>
              </w:rPr>
            </w:pPr>
            <w:r w:rsidRPr="006D63BE">
              <w:rPr>
                <w:rStyle w:val="SubtleReference"/>
              </w:rPr>
              <w:t>Incident</w:t>
            </w:r>
            <w:r w:rsidR="00D83186" w:rsidRPr="006D63BE">
              <w:rPr>
                <w:rStyle w:val="SubtleReference"/>
              </w:rPr>
              <w:t>(s)</w:t>
            </w:r>
            <w:r w:rsidRPr="006D63BE">
              <w:rPr>
                <w:rStyle w:val="SubtleReference"/>
              </w:rPr>
              <w:t xml:space="preserve"> </w:t>
            </w:r>
            <w:r w:rsidR="00D83186" w:rsidRPr="006D63BE">
              <w:rPr>
                <w:rStyle w:val="SubtleReference"/>
              </w:rPr>
              <w:t>B</w:t>
            </w:r>
            <w:r w:rsidRPr="006D63BE">
              <w:rPr>
                <w:rStyle w:val="SubtleReference"/>
              </w:rPr>
              <w:t>eing Reported</w:t>
            </w:r>
          </w:p>
        </w:tc>
      </w:tr>
      <w:tr w:rsidR="000F39D1" w14:paraId="2A18DCE8" w14:textId="77777777" w:rsidTr="009B2A65">
        <w:tc>
          <w:tcPr>
            <w:tcW w:w="112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377846" w14:textId="204FAF15" w:rsidR="000F39D1" w:rsidRDefault="000F39D1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3.1</w:t>
            </w:r>
          </w:p>
        </w:tc>
        <w:tc>
          <w:tcPr>
            <w:tcW w:w="417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0E13C3" w14:textId="5D04ED1A" w:rsidR="000F39D1" w:rsidRDefault="00FD1123" w:rsidP="00501B16">
            <w:pPr>
              <w:pStyle w:val="Boxselector"/>
            </w:pPr>
            <w:r>
              <w:t>□</w:t>
            </w:r>
            <w:r>
              <w:tab/>
              <w:t xml:space="preserve">Number of ballots in test deck: </w:t>
            </w:r>
            <w:r w:rsidRPr="0025739A">
              <w:rPr>
                <w:b/>
                <w:bCs/>
              </w:rPr>
              <w:t>______________</w:t>
            </w:r>
          </w:p>
        </w:tc>
      </w:tr>
      <w:tr w:rsidR="000F39D1" w14:paraId="2732FAB1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860ABE9" w14:textId="2BFC8C66" w:rsidR="000F39D1" w:rsidRPr="00387E8B" w:rsidRDefault="000F39D1" w:rsidP="001B4796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3.2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FAFD2B3" w14:textId="278181FF" w:rsidR="000F39D1" w:rsidRDefault="00FD1123" w:rsidP="000F39D1">
            <w:pPr>
              <w:pStyle w:val="Boxselector"/>
            </w:pPr>
            <w:r>
              <w:t>□</w:t>
            </w:r>
            <w:r>
              <w:tab/>
              <w:t>Test deck of ballots did not include all versions of ballots</w:t>
            </w:r>
          </w:p>
        </w:tc>
      </w:tr>
      <w:tr w:rsidR="00C613C5" w14:paraId="3526F6FF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357E9D" w14:textId="12A301BE" w:rsidR="00C613C5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3.3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547236E" w14:textId="3300D6D2" w:rsidR="00C613C5" w:rsidRDefault="00C613C5" w:rsidP="00C613C5">
            <w:pPr>
              <w:pStyle w:val="Boxselector"/>
            </w:pPr>
            <w:r>
              <w:t>□</w:t>
            </w:r>
            <w:r>
              <w:tab/>
            </w:r>
            <w:r w:rsidR="00BD2199">
              <w:t>ATE</w:t>
            </w:r>
            <w:r>
              <w:t xml:space="preserve"> did </w:t>
            </w:r>
            <w:r w:rsidRPr="00387E8B">
              <w:t>not</w:t>
            </w:r>
            <w:r>
              <w:t xml:space="preserve"> have lock(s) </w:t>
            </w:r>
            <w:r w:rsidR="0094706E">
              <w:t xml:space="preserve">on all “physical” ports </w:t>
            </w:r>
            <w:r>
              <w:t>to prevent tampering ◈10</w:t>
            </w:r>
          </w:p>
        </w:tc>
      </w:tr>
      <w:tr w:rsidR="00C613C5" w14:paraId="040FBF20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CDCD7EC" w14:textId="1286A3F4" w:rsidR="00C613C5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3.4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F546768" w14:textId="5553E639" w:rsidR="00C613C5" w:rsidRPr="007F0C0E" w:rsidRDefault="00C613C5" w:rsidP="00C613C5">
            <w:pPr>
              <w:pStyle w:val="Boxselector"/>
            </w:pPr>
            <w:r>
              <w:t>□</w:t>
            </w:r>
            <w:r>
              <w:tab/>
            </w:r>
            <w:r w:rsidR="007F0C0E">
              <w:t xml:space="preserve">ATE is </w:t>
            </w:r>
            <w:r w:rsidR="007F0C0E" w:rsidRPr="007506DE">
              <w:rPr>
                <w:b/>
                <w:bCs/>
                <w:u w:val="single"/>
              </w:rPr>
              <w:t>NOT</w:t>
            </w:r>
            <w:r w:rsidR="007F0C0E">
              <w:t xml:space="preserve"> air-gapped (</w:t>
            </w:r>
            <w:r w:rsidR="00000B0C">
              <w:t>can</w:t>
            </w:r>
            <w:r w:rsidR="007F0C0E">
              <w:t>not connect</w:t>
            </w:r>
            <w:r w:rsidR="00000B0C">
              <w:t xml:space="preserve"> </w:t>
            </w:r>
            <w:r w:rsidR="007F0C0E">
              <w:t>to internet</w:t>
            </w:r>
            <w:r w:rsidR="00000B0C">
              <w:t xml:space="preserve"> or internet-connected device</w:t>
            </w:r>
            <w:r w:rsidR="007F0C0E">
              <w:t>)</w:t>
            </w:r>
          </w:p>
        </w:tc>
      </w:tr>
      <w:tr w:rsidR="00C613C5" w14:paraId="17BFCB6D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9ED1FA" w14:textId="524C7785" w:rsidR="00C613C5" w:rsidRPr="00387E8B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3.5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9EA2CA7" w14:textId="3E90DDE0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Inaccurate vote tally by </w:t>
            </w:r>
            <w:r w:rsidR="00BD2199">
              <w:t>ATE</w:t>
            </w:r>
            <w:r>
              <w:t>(s) ◈7</w:t>
            </w:r>
          </w:p>
        </w:tc>
      </w:tr>
      <w:tr w:rsidR="00C613C5" w14:paraId="035D9A1F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64F15F" w14:textId="5A9205C7" w:rsidR="00C613C5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3.6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8CA9DE" w14:textId="26A7FE00" w:rsidR="00C613C5" w:rsidRDefault="00C613C5" w:rsidP="00C613C5">
            <w:pPr>
              <w:pStyle w:val="Boxselector"/>
            </w:pPr>
            <w:r>
              <w:t>□</w:t>
            </w:r>
            <w:r>
              <w:tab/>
              <w:t>No ballot counter or inaccurate count ◈11</w:t>
            </w:r>
          </w:p>
        </w:tc>
      </w:tr>
      <w:tr w:rsidR="00C613C5" w14:paraId="152FE863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3D5FAE" w14:textId="2EF482AE" w:rsidR="00C613C5" w:rsidRPr="00387E8B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3.7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8C51EF" w14:textId="557F9C11" w:rsidR="00C613C5" w:rsidRDefault="00C613C5" w:rsidP="00C613C5">
            <w:pPr>
              <w:pStyle w:val="Boxselector"/>
            </w:pPr>
            <w:r>
              <w:t>□</w:t>
            </w:r>
            <w:r>
              <w:tab/>
            </w:r>
            <w:r w:rsidRPr="00B37D8F">
              <w:t>Write-in feature not tested</w:t>
            </w:r>
            <w:r>
              <w:t xml:space="preserve"> ◈4</w:t>
            </w:r>
          </w:p>
        </w:tc>
      </w:tr>
      <w:tr w:rsidR="00C613C5" w14:paraId="7A3CD4E3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D86D21F" w14:textId="75460973" w:rsidR="00C613C5" w:rsidRPr="00387E8B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3.8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837A836" w14:textId="67FDA459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Over-voted ballot: </w:t>
            </w:r>
            <w:r w:rsidR="004E2CDA">
              <w:t>ATE</w:t>
            </w:r>
            <w:r>
              <w:t xml:space="preserve"> did </w:t>
            </w:r>
            <w:r w:rsidRPr="00387E8B">
              <w:t>not</w:t>
            </w:r>
            <w:r>
              <w:t xml:space="preserve"> reject and/or did not allow for correction ◈8</w:t>
            </w:r>
          </w:p>
        </w:tc>
      </w:tr>
      <w:tr w:rsidR="00C613C5" w14:paraId="314064A8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8BD8C5" w14:textId="1AE5827B" w:rsidR="00C613C5" w:rsidRDefault="00C613C5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3.9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407FB4C" w14:textId="2A030EB2" w:rsidR="00C613C5" w:rsidRDefault="00C613C5" w:rsidP="00C613C5">
            <w:pPr>
              <w:pStyle w:val="Boxselector"/>
            </w:pPr>
            <w:r>
              <w:t>□</w:t>
            </w:r>
            <w:r>
              <w:tab/>
              <w:t>You were denied entry</w:t>
            </w:r>
            <w:r w:rsidR="004E2CDA">
              <w:t xml:space="preserve"> to the testing event</w:t>
            </w:r>
            <w:r>
              <w:t xml:space="preserve"> or not allowed to ask questions</w:t>
            </w:r>
          </w:p>
        </w:tc>
      </w:tr>
      <w:tr w:rsidR="00C613C5" w14:paraId="2AE84B98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11E0FCC" w14:textId="71CB6C57" w:rsidR="00C613C5" w:rsidRDefault="00C613C5" w:rsidP="00C613C5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3.10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50C6D1" w14:textId="06FCC801" w:rsidR="00C613C5" w:rsidRDefault="00C613C5" w:rsidP="00C613C5">
            <w:pPr>
              <w:pStyle w:val="Boxselector"/>
            </w:pPr>
            <w:r>
              <w:t>□</w:t>
            </w:r>
            <w:r>
              <w:tab/>
              <w:t>Other incident(s) not listed</w:t>
            </w:r>
          </w:p>
        </w:tc>
      </w:tr>
      <w:tr w:rsidR="00C613C5" w14:paraId="7483EBD9" w14:textId="77777777" w:rsidTr="009B2A65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61D8B9E" w14:textId="317AB474" w:rsidR="00C613C5" w:rsidRPr="006D63BE" w:rsidRDefault="00C613C5" w:rsidP="00C613C5">
            <w:pPr>
              <w:rPr>
                <w:rStyle w:val="SubtleReference"/>
              </w:rPr>
            </w:pPr>
            <w:r w:rsidRPr="006D63BE">
              <w:rPr>
                <w:rStyle w:val="SubtleReference"/>
              </w:rPr>
              <w:t>Questions to be asked</w:t>
            </w:r>
          </w:p>
        </w:tc>
      </w:tr>
      <w:tr w:rsidR="00C613C5" w14:paraId="376A89D8" w14:textId="77777777" w:rsidTr="009B2A65">
        <w:tc>
          <w:tcPr>
            <w:tcW w:w="112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075279B" w14:textId="27C06597" w:rsidR="00C613C5" w:rsidRDefault="00C613C5" w:rsidP="00C613C5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4.1</w:t>
            </w:r>
          </w:p>
        </w:tc>
        <w:tc>
          <w:tcPr>
            <w:tcW w:w="417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97D4FC8" w14:textId="3B7EFD89" w:rsidR="00C613C5" w:rsidRDefault="00C613C5" w:rsidP="00C613C5">
            <w:pPr>
              <w:pStyle w:val="Boxselector"/>
            </w:pPr>
            <w:r>
              <w:t>□</w:t>
            </w:r>
            <w:r>
              <w:tab/>
            </w:r>
            <w:r w:rsidRPr="00B37D8F">
              <w:t>W</w:t>
            </w:r>
            <w:r>
              <w:t xml:space="preserve">hat is the mechanism that detects any operation of the </w:t>
            </w:r>
            <w:r w:rsidR="004E2CDA">
              <w:t>ATE</w:t>
            </w:r>
            <w:r>
              <w:t>(s) before or after the election, and what report do we request to obtain that information? ◈15</w:t>
            </w:r>
          </w:p>
        </w:tc>
      </w:tr>
      <w:tr w:rsidR="00C613C5" w14:paraId="327B2A37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B86863B" w14:textId="1B06130C" w:rsidR="00C613C5" w:rsidRDefault="00C613C5" w:rsidP="00C613C5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4.2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2D863D8" w14:textId="3AD379F1" w:rsidR="00C613C5" w:rsidRDefault="00C613C5" w:rsidP="00C613C5">
            <w:pPr>
              <w:pStyle w:val="Boxselector"/>
            </w:pPr>
            <w:r>
              <w:t>□</w:t>
            </w:r>
            <w:r>
              <w:tab/>
              <w:t>Wh</w:t>
            </w:r>
            <w:r w:rsidRPr="0026432B">
              <w:t xml:space="preserve">ere can we get the audit logs for the actions that happen </w:t>
            </w:r>
            <w:r>
              <w:t xml:space="preserve">on </w:t>
            </w:r>
            <w:r w:rsidR="007506DE">
              <w:t>any</w:t>
            </w:r>
            <w:r>
              <w:t xml:space="preserve"> </w:t>
            </w:r>
            <w:r w:rsidR="004E2CDA">
              <w:t>ATE</w:t>
            </w:r>
            <w:r>
              <w:t>? ◈14</w:t>
            </w:r>
          </w:p>
        </w:tc>
      </w:tr>
      <w:tr w:rsidR="00C613C5" w14:paraId="51230322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E7E6E6" w:themeColor="background2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2866E53" w14:textId="53157EE3" w:rsidR="00C613C5" w:rsidRDefault="00C613C5" w:rsidP="00C613C5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4.3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E7E6E6" w:themeColor="background2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3C090A7" w14:textId="561E7E6C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Are </w:t>
            </w:r>
            <w:r w:rsidR="00AE53B1">
              <w:t xml:space="preserve">or were </w:t>
            </w:r>
            <w:r>
              <w:t xml:space="preserve">any </w:t>
            </w:r>
            <w:r w:rsidR="004E2CDA">
              <w:t>ATEs</w:t>
            </w:r>
            <w:r>
              <w:t xml:space="preserve"> </w:t>
            </w:r>
            <w:r w:rsidR="00AE53B1">
              <w:t xml:space="preserve">used </w:t>
            </w:r>
            <w:r>
              <w:t>for early voting?</w:t>
            </w:r>
          </w:p>
          <w:p w14:paraId="0A43410B" w14:textId="4ED5C157" w:rsidR="00C613C5" w:rsidRDefault="00C613C5" w:rsidP="0094115A">
            <w:pPr>
              <w:pStyle w:val="Boxselector"/>
            </w:pPr>
            <w:r>
              <w:tab/>
              <w:t>□ Yes   □ No</w:t>
            </w:r>
          </w:p>
        </w:tc>
      </w:tr>
      <w:tr w:rsidR="00C613C5" w14:paraId="008879D7" w14:textId="77777777" w:rsidTr="009B2A65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C95D42A" w14:textId="413CDC0F" w:rsidR="00C613C5" w:rsidRPr="006D63BE" w:rsidRDefault="00C613C5" w:rsidP="00C613C5">
            <w:pPr>
              <w:rPr>
                <w:rStyle w:val="SubtleReference"/>
              </w:rPr>
            </w:pPr>
            <w:r w:rsidRPr="006D63BE">
              <w:rPr>
                <w:rStyle w:val="SubtleReference"/>
              </w:rPr>
              <w:t>Chain of Custody of Tabulators (</w:t>
            </w:r>
            <w:r>
              <w:rPr>
                <w:rStyle w:val="SubtleReference"/>
              </w:rPr>
              <w:t>Follow-up</w:t>
            </w:r>
            <w:r w:rsidRPr="006D63BE">
              <w:rPr>
                <w:rStyle w:val="SubtleReference"/>
              </w:rPr>
              <w:t>)</w:t>
            </w:r>
          </w:p>
        </w:tc>
      </w:tr>
      <w:tr w:rsidR="00C613C5" w14:paraId="5DB1489B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08CC3BB" w14:textId="032E7162" w:rsidR="00C613C5" w:rsidRPr="005C7CF2" w:rsidRDefault="00C613C5" w:rsidP="00C613C5">
            <w:pPr>
              <w:jc w:val="center"/>
              <w:rPr>
                <w:b/>
                <w:bCs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5.1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3D9CB3" w14:textId="7159EAC5" w:rsidR="00C613C5" w:rsidRDefault="004659F1" w:rsidP="00C613C5">
            <w:pPr>
              <w:pStyle w:val="Boxselector"/>
            </w:pPr>
            <w:r>
              <w:t>□</w:t>
            </w:r>
            <w:r>
              <w:tab/>
              <w:t>What “</w:t>
            </w:r>
            <w:r w:rsidRPr="00F72438">
              <w:rPr>
                <w:b/>
                <w:bCs/>
              </w:rPr>
              <w:t>enhanced</w:t>
            </w:r>
            <w:r>
              <w:t xml:space="preserve"> defensive measures” has the county put in place because of the June 3</w:t>
            </w:r>
            <w:r w:rsidRPr="004659F1">
              <w:rPr>
                <w:vertAlign w:val="superscript"/>
              </w:rPr>
              <w:t>rd</w:t>
            </w:r>
            <w:r>
              <w:t xml:space="preserve"> </w:t>
            </w:r>
            <w:hyperlink r:id="rId9" w:history="1">
              <w:r w:rsidRPr="00243D2A">
                <w:rPr>
                  <w:rStyle w:val="Hyperlink"/>
                </w:rPr>
                <w:t>CISA Alert (Dominion)</w:t>
              </w:r>
            </w:hyperlink>
            <w:r>
              <w:t>, or the May 20</w:t>
            </w:r>
            <w:r w:rsidRPr="004659F1">
              <w:rPr>
                <w:vertAlign w:val="superscript"/>
              </w:rPr>
              <w:t>th</w:t>
            </w:r>
            <w:r>
              <w:t xml:space="preserve"> EAC ‘</w:t>
            </w:r>
            <w:hyperlink r:id="rId10" w:history="1">
              <w:r w:rsidR="00F72438" w:rsidRPr="00F72438">
                <w:rPr>
                  <w:rStyle w:val="Hyperlink"/>
                </w:rPr>
                <w:t xml:space="preserve">Missouri Voting Machine </w:t>
              </w:r>
              <w:proofErr w:type="spellStart"/>
              <w:r w:rsidR="00F72438" w:rsidRPr="00F72438">
                <w:rPr>
                  <w:rStyle w:val="Hyperlink"/>
                </w:rPr>
                <w:t>Anamoly</w:t>
              </w:r>
              <w:proofErr w:type="spellEnd"/>
              <w:r w:rsidRPr="00F72438">
                <w:rPr>
                  <w:rStyle w:val="Hyperlink"/>
                </w:rPr>
                <w:t>’ (</w:t>
              </w:r>
              <w:proofErr w:type="spellStart"/>
              <w:r w:rsidRPr="00F72438">
                <w:rPr>
                  <w:rStyle w:val="Hyperlink"/>
                </w:rPr>
                <w:t>Unisyn</w:t>
              </w:r>
              <w:proofErr w:type="spellEnd"/>
              <w:r w:rsidRPr="00F72438">
                <w:rPr>
                  <w:rStyle w:val="Hyperlink"/>
                </w:rPr>
                <w:t>)</w:t>
              </w:r>
            </w:hyperlink>
            <w:r>
              <w:t>?</w:t>
            </w:r>
          </w:p>
        </w:tc>
      </w:tr>
      <w:tr w:rsidR="004659F1" w14:paraId="2F9E288B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8B7F27E" w14:textId="542DFC21" w:rsidR="004659F1" w:rsidRDefault="00F72438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5.2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3DEA64A" w14:textId="40FF19F5" w:rsidR="004659F1" w:rsidRDefault="004659F1" w:rsidP="00C613C5">
            <w:pPr>
              <w:pStyle w:val="Boxselector"/>
            </w:pPr>
            <w:r>
              <w:t xml:space="preserve">□ </w:t>
            </w:r>
            <w:r>
              <w:tab/>
              <w:t xml:space="preserve">On what day will </w:t>
            </w:r>
            <w:r w:rsidR="004E2CDA">
              <w:t>ATE(s)</w:t>
            </w:r>
            <w:r>
              <w:t xml:space="preserve"> be delivered to polling places and on what day are they scheduled to be picked up after the election?</w:t>
            </w:r>
          </w:p>
        </w:tc>
      </w:tr>
      <w:tr w:rsidR="00C613C5" w14:paraId="3BC13A9F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B687C0" w14:textId="381336E7" w:rsidR="00C613C5" w:rsidRPr="005C7CF2" w:rsidRDefault="00C613C5" w:rsidP="00C613C5">
            <w:pPr>
              <w:jc w:val="center"/>
              <w:rPr>
                <w:b/>
                <w:bCs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5.3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8281FB" w14:textId="3D8880AC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During transit: Are drivers instructed </w:t>
            </w:r>
            <w:r w:rsidRPr="004E2965">
              <w:rPr>
                <w:b/>
                <w:bCs/>
                <w:u w:val="single"/>
              </w:rPr>
              <w:t>not</w:t>
            </w:r>
            <w:r>
              <w:t xml:space="preserve"> to leave the vehicle unattended and/or unsecured if </w:t>
            </w:r>
            <w:r w:rsidR="004E2CDA">
              <w:t>ATE(s)</w:t>
            </w:r>
            <w:r>
              <w:t xml:space="preserve"> are loaded on it?</w:t>
            </w:r>
          </w:p>
        </w:tc>
      </w:tr>
      <w:tr w:rsidR="005949CB" w14:paraId="41E9D8F9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5D8000" w14:textId="3F5196CE" w:rsidR="005949CB" w:rsidRDefault="00F72438" w:rsidP="00C613C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5.4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04381F" w14:textId="599FA40F" w:rsidR="005949CB" w:rsidRDefault="005949CB" w:rsidP="00C613C5">
            <w:pPr>
              <w:pStyle w:val="Boxselector"/>
            </w:pPr>
            <w:r>
              <w:t xml:space="preserve">□ </w:t>
            </w:r>
            <w:r>
              <w:tab/>
              <w:t xml:space="preserve">Are </w:t>
            </w:r>
            <w:r w:rsidR="004E2CDA">
              <w:t>ATE(s)</w:t>
            </w:r>
            <w:r>
              <w:t xml:space="preserve"> ever at the polling place unattended, before, during, or after the election?</w:t>
            </w:r>
          </w:p>
        </w:tc>
      </w:tr>
      <w:tr w:rsidR="00C613C5" w14:paraId="29E790C8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A65FB2" w14:textId="195A7BF1" w:rsidR="00C613C5" w:rsidRPr="005C7CF2" w:rsidRDefault="00C613C5" w:rsidP="00C613C5">
            <w:pPr>
              <w:jc w:val="center"/>
              <w:rPr>
                <w:b/>
                <w:bCs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</w:t>
            </w:r>
            <w:r w:rsidR="00F72438" w:rsidRPr="007177A1">
              <w:rPr>
                <w:rStyle w:val="BoxselectorChar"/>
              </w:rPr>
              <w:t>5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4B1F3ED" w14:textId="3A1CF421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After polls close, which parts or elements are physically removed from the </w:t>
            </w:r>
            <w:r w:rsidR="004E2CDA">
              <w:t>ATE(s)</w:t>
            </w:r>
            <w:r>
              <w:t xml:space="preserve"> and which parts or elements of the </w:t>
            </w:r>
            <w:r w:rsidR="004E2CDA">
              <w:t>ATE(s)</w:t>
            </w:r>
            <w:r>
              <w:t xml:space="preserve"> are left behind at the polling place?</w:t>
            </w:r>
          </w:p>
        </w:tc>
      </w:tr>
      <w:tr w:rsidR="00C613C5" w14:paraId="738D7DD8" w14:textId="77777777" w:rsidTr="009B2A65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93CE3C8" w14:textId="6C8A8699" w:rsidR="00C613C5" w:rsidRPr="005C7CF2" w:rsidRDefault="00C613C5" w:rsidP="00C613C5">
            <w:pPr>
              <w:jc w:val="center"/>
              <w:rPr>
                <w:b/>
                <w:bCs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5.</w:t>
            </w:r>
            <w:r w:rsidR="00F72438" w:rsidRPr="007177A1">
              <w:rPr>
                <w:rStyle w:val="BoxselectorChar"/>
              </w:rPr>
              <w:t>6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FFB3783" w14:textId="28474D48" w:rsidR="00C613C5" w:rsidRDefault="00C613C5" w:rsidP="00C613C5">
            <w:pPr>
              <w:pStyle w:val="Boxselector"/>
            </w:pPr>
            <w:r>
              <w:t>□</w:t>
            </w:r>
            <w:r>
              <w:tab/>
              <w:t xml:space="preserve">Where are the </w:t>
            </w:r>
            <w:r w:rsidR="004E2CDA">
              <w:t>ATE(s)</w:t>
            </w:r>
            <w:r>
              <w:t xml:space="preserve"> </w:t>
            </w:r>
            <w:r w:rsidR="005949CB">
              <w:t>stored</w:t>
            </w:r>
            <w:r>
              <w:t xml:space="preserve"> and how are they secured between elections?</w:t>
            </w:r>
          </w:p>
        </w:tc>
      </w:tr>
      <w:tr w:rsidR="00C613C5" w14:paraId="0196C5D5" w14:textId="77777777" w:rsidTr="009B2A65">
        <w:tc>
          <w:tcPr>
            <w:tcW w:w="1123" w:type="dxa"/>
            <w:tcBorders>
              <w:righ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73280E0" w14:textId="240846A2" w:rsidR="00C613C5" w:rsidRDefault="00C613C5" w:rsidP="00C613C5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="007177A1" w:rsidRPr="007177A1">
              <w:rPr>
                <w:rStyle w:val="BoxselectorChar"/>
              </w:rPr>
              <w:t>1</w:t>
            </w:r>
            <w:r w:rsidRPr="007177A1">
              <w:rPr>
                <w:rStyle w:val="BoxselectorChar"/>
              </w:rPr>
              <w:t>6.0</w:t>
            </w:r>
          </w:p>
        </w:tc>
        <w:tc>
          <w:tcPr>
            <w:tcW w:w="4176" w:type="dxa"/>
            <w:tcBorders>
              <w:left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786D830" w14:textId="7DDB62DF" w:rsidR="00C613C5" w:rsidRPr="006D63BE" w:rsidRDefault="00C613C5" w:rsidP="00C613C5">
            <w:pPr>
              <w:rPr>
                <w:rStyle w:val="SubtleReference"/>
              </w:rPr>
            </w:pPr>
            <w:r w:rsidRPr="006D63BE">
              <w:rPr>
                <w:rStyle w:val="SubtleReference"/>
              </w:rPr>
              <w:t>Any Additional Notes</w:t>
            </w:r>
          </w:p>
        </w:tc>
      </w:tr>
    </w:tbl>
    <w:p w14:paraId="2BD819F3" w14:textId="77777777" w:rsidR="0055459C" w:rsidRDefault="0055459C"/>
    <w:sectPr w:rsidR="0055459C" w:rsidSect="0055459C">
      <w:type w:val="continuous"/>
      <w:pgSz w:w="12240" w:h="15840"/>
      <w:pgMar w:top="576" w:right="432" w:bottom="576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80C5" w14:textId="77777777" w:rsidR="00CE7306" w:rsidRDefault="00CE7306" w:rsidP="009B0930">
      <w:pPr>
        <w:spacing w:after="0" w:line="240" w:lineRule="auto"/>
      </w:pPr>
      <w:r>
        <w:separator/>
      </w:r>
    </w:p>
  </w:endnote>
  <w:endnote w:type="continuationSeparator" w:id="0">
    <w:p w14:paraId="3C0B441E" w14:textId="77777777" w:rsidR="00CE7306" w:rsidRDefault="00CE7306" w:rsidP="009B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05"/>
      <w:gridCol w:w="720"/>
      <w:gridCol w:w="2670"/>
      <w:gridCol w:w="2671"/>
    </w:tblGrid>
    <w:tr w:rsidR="00483428" w14:paraId="788BF9D7" w14:textId="77777777" w:rsidTr="005C7D6C">
      <w:trPr>
        <w:trHeight w:val="576"/>
      </w:trPr>
      <w:tc>
        <w:tcPr>
          <w:tcW w:w="5305" w:type="dxa"/>
          <w:vAlign w:val="center"/>
        </w:tcPr>
        <w:p w14:paraId="3EC2575F" w14:textId="480FB612" w:rsidR="00483428" w:rsidRPr="00D0526A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Name (PRINT):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AE2D2F6" w14:textId="77777777" w:rsidR="00483428" w:rsidRDefault="00483428" w:rsidP="00D0526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9EBE2A" w14:textId="62BC2F97" w:rsidR="00483428" w:rsidRPr="00D0526A" w:rsidRDefault="005C7D6C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Cell</w:t>
          </w:r>
          <w:r w:rsidR="00483428">
            <w:rPr>
              <w:b/>
              <w:bCs/>
            </w:rPr>
            <w:t>:</w:t>
          </w:r>
        </w:p>
      </w:tc>
      <w:tc>
        <w:tcPr>
          <w:tcW w:w="2671" w:type="dxa"/>
          <w:vAlign w:val="center"/>
        </w:tcPr>
        <w:p w14:paraId="24F22541" w14:textId="0C11640A" w:rsidR="00483428" w:rsidRPr="00D0526A" w:rsidRDefault="00483428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Date of Test:</w:t>
          </w:r>
        </w:p>
      </w:tc>
    </w:tr>
    <w:tr w:rsidR="005C7D6C" w14:paraId="041F870F" w14:textId="77777777" w:rsidTr="007946DF">
      <w:trPr>
        <w:trHeight w:val="576"/>
      </w:trPr>
      <w:tc>
        <w:tcPr>
          <w:tcW w:w="5305" w:type="dxa"/>
          <w:vAlign w:val="center"/>
        </w:tcPr>
        <w:p w14:paraId="0768DBCC" w14:textId="7177F441" w:rsidR="005C7D6C" w:rsidRDefault="005C7D6C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Signature (SIGN):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8F12826" w14:textId="77777777" w:rsidR="005C7D6C" w:rsidRDefault="005C7D6C" w:rsidP="00B100C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360D6C1C" w14:textId="68657EC7" w:rsidR="005C7D6C" w:rsidRPr="00F17C7F" w:rsidRDefault="005C7D6C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County:</w:t>
          </w:r>
        </w:p>
      </w:tc>
      <w:tc>
        <w:tcPr>
          <w:tcW w:w="2671" w:type="dxa"/>
          <w:vAlign w:val="center"/>
        </w:tcPr>
        <w:p w14:paraId="5CC4C752" w14:textId="4BD13495" w:rsidR="005C7D6C" w:rsidRPr="00F17C7F" w:rsidRDefault="005C7D6C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Date of Election:</w:t>
          </w:r>
        </w:p>
      </w:tc>
    </w:tr>
    <w:tr w:rsidR="00483428" w14:paraId="347A6533" w14:textId="77777777" w:rsidTr="00483428">
      <w:trPr>
        <w:trHeight w:val="576"/>
      </w:trPr>
      <w:tc>
        <w:tcPr>
          <w:tcW w:w="5305" w:type="dxa"/>
          <w:vAlign w:val="center"/>
        </w:tcPr>
        <w:p w14:paraId="0FDF7FFA" w14:textId="047BA49F" w:rsidR="00483428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EMAIL: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25EC3A94" w14:textId="77777777" w:rsidR="00483428" w:rsidRPr="002533BB" w:rsidRDefault="00483428" w:rsidP="00B100CA">
          <w:pPr>
            <w:pStyle w:val="Footer"/>
            <w:jc w:val="left"/>
            <w:rPr>
              <w:szCs w:val="18"/>
            </w:rPr>
          </w:pPr>
        </w:p>
      </w:tc>
      <w:tc>
        <w:tcPr>
          <w:tcW w:w="5341" w:type="dxa"/>
          <w:gridSpan w:val="2"/>
          <w:vAlign w:val="center"/>
        </w:tcPr>
        <w:p w14:paraId="3F460988" w14:textId="77777777" w:rsidR="007177A1" w:rsidRDefault="007177A1" w:rsidP="007177A1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Scan or take pics of forms and email to </w:t>
          </w:r>
          <w:hyperlink r:id="rId1" w:history="1">
            <w:r w:rsidRPr="00C5299B">
              <w:rPr>
                <w:rStyle w:val="Hyperlink"/>
                <w:szCs w:val="18"/>
              </w:rPr>
              <w:t>Cause.America.MO@pm.me</w:t>
            </w:r>
          </w:hyperlink>
        </w:p>
        <w:p w14:paraId="0169FC0C" w14:textId="77777777" w:rsidR="00127216" w:rsidRDefault="007177A1" w:rsidP="007177A1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Mail paper copies to </w:t>
          </w:r>
          <w:r w:rsidRPr="0085717A">
            <w:rPr>
              <w:szCs w:val="18"/>
            </w:rPr>
            <w:t xml:space="preserve">Missouri Canvassers, </w:t>
          </w:r>
          <w:r w:rsidR="00127216">
            <w:rPr>
              <w:szCs w:val="18"/>
            </w:rPr>
            <w:t>PO Box XXX</w:t>
          </w:r>
          <w:r w:rsidRPr="0085717A">
            <w:rPr>
              <w:szCs w:val="18"/>
            </w:rPr>
            <w:t>,</w:t>
          </w:r>
        </w:p>
        <w:p w14:paraId="2601F756" w14:textId="57928C4D" w:rsidR="00483428" w:rsidRPr="002533BB" w:rsidRDefault="00127216" w:rsidP="007177A1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>Election</w:t>
          </w:r>
          <w:r w:rsidR="007177A1" w:rsidRPr="0085717A">
            <w:rPr>
              <w:szCs w:val="18"/>
            </w:rPr>
            <w:t>, MO 65</w:t>
          </w:r>
          <w:r>
            <w:rPr>
              <w:szCs w:val="18"/>
            </w:rPr>
            <w:t>000</w:t>
          </w:r>
        </w:p>
      </w:tc>
    </w:tr>
  </w:tbl>
  <w:p w14:paraId="28C7B67A" w14:textId="1453CAC5" w:rsidR="009B0930" w:rsidRPr="007177A1" w:rsidRDefault="007177A1">
    <w:pPr>
      <w:pStyle w:val="Footer"/>
      <w:rPr>
        <w:color w:val="A6A6A6" w:themeColor="background1" w:themeShade="A6"/>
      </w:rPr>
    </w:pPr>
    <w:r w:rsidRPr="00867AF4">
      <w:rPr>
        <w:color w:val="A6A6A6" w:themeColor="background1" w:themeShade="A6"/>
      </w:rPr>
      <w:t>2022</w:t>
    </w:r>
    <w:r>
      <w:rPr>
        <w:color w:val="A6A6A6" w:themeColor="background1" w:themeShade="A6"/>
      </w:rPr>
      <w:t>0927</w:t>
    </w:r>
    <w:r w:rsidR="007A3ED7">
      <w:rPr>
        <w:color w:val="A6A6A6" w:themeColor="background1" w:themeShade="A6"/>
      </w:rPr>
      <w:t xml:space="preserve"> EWP1 Machine Public Test Watch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DA9D" w14:textId="77777777" w:rsidR="00CE7306" w:rsidRDefault="00CE7306" w:rsidP="009B0930">
      <w:pPr>
        <w:spacing w:after="0" w:line="240" w:lineRule="auto"/>
      </w:pPr>
      <w:r>
        <w:separator/>
      </w:r>
    </w:p>
  </w:footnote>
  <w:footnote w:type="continuationSeparator" w:id="0">
    <w:p w14:paraId="23031D76" w14:textId="77777777" w:rsidR="00CE7306" w:rsidRDefault="00CE7306" w:rsidP="009B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60A"/>
    <w:multiLevelType w:val="hybridMultilevel"/>
    <w:tmpl w:val="260E3C50"/>
    <w:lvl w:ilvl="0" w:tplc="32AA0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96"/>
    <w:multiLevelType w:val="hybridMultilevel"/>
    <w:tmpl w:val="5108EF1E"/>
    <w:lvl w:ilvl="0" w:tplc="E07EFF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B6E53"/>
    <w:multiLevelType w:val="hybridMultilevel"/>
    <w:tmpl w:val="2878CF0C"/>
    <w:lvl w:ilvl="0" w:tplc="D1D801CC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2274642">
    <w:abstractNumId w:val="1"/>
  </w:num>
  <w:num w:numId="2" w16cid:durableId="738865013">
    <w:abstractNumId w:val="0"/>
  </w:num>
  <w:num w:numId="3" w16cid:durableId="87624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YyMTM1sDA3MTdU0lEKTi0uzszPAykwNKoFAGI6hCotAAAA"/>
  </w:docVars>
  <w:rsids>
    <w:rsidRoot w:val="007658AB"/>
    <w:rsid w:val="00000B0C"/>
    <w:rsid w:val="00001FD2"/>
    <w:rsid w:val="000032E4"/>
    <w:rsid w:val="000113C7"/>
    <w:rsid w:val="00050369"/>
    <w:rsid w:val="00056009"/>
    <w:rsid w:val="00057526"/>
    <w:rsid w:val="00062B81"/>
    <w:rsid w:val="000854CF"/>
    <w:rsid w:val="00097272"/>
    <w:rsid w:val="000A78B0"/>
    <w:rsid w:val="000C03F6"/>
    <w:rsid w:val="000F39D1"/>
    <w:rsid w:val="000F5E30"/>
    <w:rsid w:val="000F7A5B"/>
    <w:rsid w:val="001069D5"/>
    <w:rsid w:val="00120D88"/>
    <w:rsid w:val="001254F9"/>
    <w:rsid w:val="00127216"/>
    <w:rsid w:val="0016103B"/>
    <w:rsid w:val="0016136D"/>
    <w:rsid w:val="00164A7F"/>
    <w:rsid w:val="00180F1E"/>
    <w:rsid w:val="0019009A"/>
    <w:rsid w:val="00192E0D"/>
    <w:rsid w:val="001930CB"/>
    <w:rsid w:val="001B4796"/>
    <w:rsid w:val="001C7779"/>
    <w:rsid w:val="001F7127"/>
    <w:rsid w:val="002101B3"/>
    <w:rsid w:val="002211FC"/>
    <w:rsid w:val="002302BD"/>
    <w:rsid w:val="00234745"/>
    <w:rsid w:val="002365F3"/>
    <w:rsid w:val="00243D2A"/>
    <w:rsid w:val="002533BB"/>
    <w:rsid w:val="0025739A"/>
    <w:rsid w:val="0026432B"/>
    <w:rsid w:val="002738D7"/>
    <w:rsid w:val="002F0D93"/>
    <w:rsid w:val="002F2777"/>
    <w:rsid w:val="0032790C"/>
    <w:rsid w:val="00382853"/>
    <w:rsid w:val="00383055"/>
    <w:rsid w:val="00387E8B"/>
    <w:rsid w:val="003A16C4"/>
    <w:rsid w:val="004373F3"/>
    <w:rsid w:val="004527EF"/>
    <w:rsid w:val="004659F1"/>
    <w:rsid w:val="00477876"/>
    <w:rsid w:val="00483428"/>
    <w:rsid w:val="004D36C2"/>
    <w:rsid w:val="004E2965"/>
    <w:rsid w:val="004E2CDA"/>
    <w:rsid w:val="004F0B1F"/>
    <w:rsid w:val="00501B16"/>
    <w:rsid w:val="005215ED"/>
    <w:rsid w:val="0055459C"/>
    <w:rsid w:val="00585CD3"/>
    <w:rsid w:val="005949CB"/>
    <w:rsid w:val="005B1EC6"/>
    <w:rsid w:val="005B4175"/>
    <w:rsid w:val="005C7CF2"/>
    <w:rsid w:val="005C7D6C"/>
    <w:rsid w:val="006432CD"/>
    <w:rsid w:val="00667D84"/>
    <w:rsid w:val="00671EA6"/>
    <w:rsid w:val="00683073"/>
    <w:rsid w:val="006B71B5"/>
    <w:rsid w:val="006D63BE"/>
    <w:rsid w:val="006D79A9"/>
    <w:rsid w:val="006F10CE"/>
    <w:rsid w:val="00712414"/>
    <w:rsid w:val="00713A31"/>
    <w:rsid w:val="007177A1"/>
    <w:rsid w:val="007506DE"/>
    <w:rsid w:val="007658AB"/>
    <w:rsid w:val="0077090F"/>
    <w:rsid w:val="00775BBF"/>
    <w:rsid w:val="00776DF2"/>
    <w:rsid w:val="007906F2"/>
    <w:rsid w:val="007A3ED7"/>
    <w:rsid w:val="007D2E67"/>
    <w:rsid w:val="007E2465"/>
    <w:rsid w:val="007F0C0E"/>
    <w:rsid w:val="007F36C1"/>
    <w:rsid w:val="0081080B"/>
    <w:rsid w:val="00815992"/>
    <w:rsid w:val="00823269"/>
    <w:rsid w:val="0083575E"/>
    <w:rsid w:val="008361C3"/>
    <w:rsid w:val="00854199"/>
    <w:rsid w:val="00881B5B"/>
    <w:rsid w:val="00886E58"/>
    <w:rsid w:val="008B11F6"/>
    <w:rsid w:val="008C661D"/>
    <w:rsid w:val="008C7F9B"/>
    <w:rsid w:val="008F07B0"/>
    <w:rsid w:val="00927BE5"/>
    <w:rsid w:val="0094115A"/>
    <w:rsid w:val="0094706E"/>
    <w:rsid w:val="009526F5"/>
    <w:rsid w:val="009614F5"/>
    <w:rsid w:val="009B0930"/>
    <w:rsid w:val="009B2A65"/>
    <w:rsid w:val="009D00B1"/>
    <w:rsid w:val="009D02A0"/>
    <w:rsid w:val="00A05901"/>
    <w:rsid w:val="00A3068F"/>
    <w:rsid w:val="00A4399D"/>
    <w:rsid w:val="00A46F9F"/>
    <w:rsid w:val="00A85C68"/>
    <w:rsid w:val="00A906B4"/>
    <w:rsid w:val="00A95075"/>
    <w:rsid w:val="00AD6932"/>
    <w:rsid w:val="00AE53B1"/>
    <w:rsid w:val="00B064FC"/>
    <w:rsid w:val="00B100CA"/>
    <w:rsid w:val="00B11AE0"/>
    <w:rsid w:val="00B31808"/>
    <w:rsid w:val="00B37D8F"/>
    <w:rsid w:val="00B42308"/>
    <w:rsid w:val="00B73905"/>
    <w:rsid w:val="00BA5D6F"/>
    <w:rsid w:val="00BD2199"/>
    <w:rsid w:val="00BD4D3A"/>
    <w:rsid w:val="00C04B11"/>
    <w:rsid w:val="00C0771D"/>
    <w:rsid w:val="00C343CE"/>
    <w:rsid w:val="00C4217C"/>
    <w:rsid w:val="00C613C5"/>
    <w:rsid w:val="00C615A7"/>
    <w:rsid w:val="00C76525"/>
    <w:rsid w:val="00CC195C"/>
    <w:rsid w:val="00CE4FB7"/>
    <w:rsid w:val="00CE7306"/>
    <w:rsid w:val="00D01572"/>
    <w:rsid w:val="00D0492A"/>
    <w:rsid w:val="00D0526A"/>
    <w:rsid w:val="00D07A9E"/>
    <w:rsid w:val="00D22348"/>
    <w:rsid w:val="00D241F5"/>
    <w:rsid w:val="00D3588B"/>
    <w:rsid w:val="00D5407C"/>
    <w:rsid w:val="00D83186"/>
    <w:rsid w:val="00D879FC"/>
    <w:rsid w:val="00DA2080"/>
    <w:rsid w:val="00DC7DE0"/>
    <w:rsid w:val="00DE4622"/>
    <w:rsid w:val="00E142E6"/>
    <w:rsid w:val="00E30B5B"/>
    <w:rsid w:val="00E363D4"/>
    <w:rsid w:val="00E372F5"/>
    <w:rsid w:val="00E424E0"/>
    <w:rsid w:val="00E90789"/>
    <w:rsid w:val="00E9215E"/>
    <w:rsid w:val="00EA047E"/>
    <w:rsid w:val="00EB22E6"/>
    <w:rsid w:val="00EB5E82"/>
    <w:rsid w:val="00EB78CD"/>
    <w:rsid w:val="00EC4F4A"/>
    <w:rsid w:val="00EE5A2B"/>
    <w:rsid w:val="00EF7969"/>
    <w:rsid w:val="00F04FA0"/>
    <w:rsid w:val="00F17C7F"/>
    <w:rsid w:val="00F215B4"/>
    <w:rsid w:val="00F25C08"/>
    <w:rsid w:val="00F37DEF"/>
    <w:rsid w:val="00F604FB"/>
    <w:rsid w:val="00F72438"/>
    <w:rsid w:val="00F80A9C"/>
    <w:rsid w:val="00F85FAD"/>
    <w:rsid w:val="00FD1123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C275"/>
  <w15:chartTrackingRefBased/>
  <w15:docId w15:val="{B7A3CCD0-79E1-466A-8BD4-2FF86C1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09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E6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aliases w:val="Liturgy Section Heading"/>
    <w:basedOn w:val="Normal"/>
    <w:next w:val="Normal"/>
    <w:link w:val="Heading5Char"/>
    <w:autoRedefine/>
    <w:uiPriority w:val="9"/>
    <w:unhideWhenUsed/>
    <w:qFormat/>
    <w:rsid w:val="00AD6932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Heading6">
    <w:name w:val="heading 6"/>
    <w:aliases w:val="Section Heading"/>
    <w:basedOn w:val="Normal"/>
    <w:next w:val="Normal"/>
    <w:link w:val="Heading6Char"/>
    <w:autoRedefine/>
    <w:uiPriority w:val="9"/>
    <w:unhideWhenUsed/>
    <w:qFormat/>
    <w:rsid w:val="00DE4622"/>
    <w:pPr>
      <w:keepNext/>
      <w:keepLines/>
      <w:tabs>
        <w:tab w:val="left" w:pos="2160"/>
      </w:tabs>
      <w:spacing w:after="0" w:line="240" w:lineRule="auto"/>
      <w:outlineLvl w:val="5"/>
    </w:pPr>
    <w:rPr>
      <w:rFonts w:asciiTheme="majorHAnsi" w:eastAsiaTheme="majorEastAsia" w:hAnsiTheme="majorHAnsi" w:cstheme="majorBidi"/>
      <w:iCs/>
      <w:sz w:val="32"/>
    </w:rPr>
  </w:style>
  <w:style w:type="paragraph" w:styleId="Heading7">
    <w:name w:val="heading 7"/>
    <w:aliases w:val="Grand Heading"/>
    <w:basedOn w:val="Normal"/>
    <w:next w:val="Normal"/>
    <w:link w:val="Heading7Char"/>
    <w:autoRedefine/>
    <w:uiPriority w:val="9"/>
    <w:unhideWhenUsed/>
    <w:qFormat/>
    <w:rsid w:val="00AD6932"/>
    <w:pPr>
      <w:spacing w:after="120" w:line="252" w:lineRule="auto"/>
      <w:jc w:val="center"/>
      <w:outlineLvl w:val="6"/>
    </w:pPr>
    <w:rPr>
      <w:rFonts w:ascii="Book Antiqua" w:hAnsi="Book Antiqua"/>
      <w:iCs/>
      <w:spacing w:val="10"/>
      <w:sz w:val="72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AD693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Grand Heading Char"/>
    <w:basedOn w:val="DefaultParagraphFont"/>
    <w:link w:val="Heading7"/>
    <w:uiPriority w:val="9"/>
    <w:rsid w:val="00AD6932"/>
    <w:rPr>
      <w:rFonts w:ascii="Book Antiqua" w:hAnsi="Book Antiqua"/>
      <w:iCs/>
      <w:spacing w:val="10"/>
      <w:sz w:val="72"/>
    </w:rPr>
  </w:style>
  <w:style w:type="paragraph" w:customStyle="1" w:styleId="Rubric-Presider">
    <w:name w:val="Rubric - Presider"/>
    <w:basedOn w:val="Normal"/>
    <w:link w:val="Rubric-PresiderChar"/>
    <w:autoRedefine/>
    <w:qFormat/>
    <w:rsid w:val="00AD6932"/>
    <w:pPr>
      <w:spacing w:after="0" w:line="240" w:lineRule="auto"/>
      <w:ind w:left="720"/>
    </w:pPr>
    <w:rPr>
      <w:b/>
      <w:color w:val="FF0000"/>
      <w:sz w:val="40"/>
    </w:rPr>
  </w:style>
  <w:style w:type="character" w:customStyle="1" w:styleId="Rubric-PresiderChar">
    <w:name w:val="Rubric - Presider Char"/>
    <w:basedOn w:val="DefaultParagraphFont"/>
    <w:link w:val="Rubric-Presider"/>
    <w:rsid w:val="00AD6932"/>
    <w:rPr>
      <w:b/>
      <w:color w:val="FF0000"/>
      <w:sz w:val="40"/>
    </w:rPr>
  </w:style>
  <w:style w:type="paragraph" w:customStyle="1" w:styleId="Rubricsothers">
    <w:name w:val="Rubrics (others)"/>
    <w:basedOn w:val="Normal"/>
    <w:next w:val="Normal"/>
    <w:link w:val="RubricsothersChar"/>
    <w:autoRedefine/>
    <w:qFormat/>
    <w:rsid w:val="00AD6932"/>
    <w:pPr>
      <w:spacing w:after="0" w:line="240" w:lineRule="auto"/>
      <w:ind w:left="1440"/>
    </w:pPr>
    <w:rPr>
      <w:rFonts w:cstheme="minorHAnsi"/>
      <w:color w:val="FF0000"/>
    </w:rPr>
  </w:style>
  <w:style w:type="character" w:customStyle="1" w:styleId="RubricsothersChar">
    <w:name w:val="Rubrics (others) Char"/>
    <w:basedOn w:val="DefaultParagraphFont"/>
    <w:link w:val="Rubricsothers"/>
    <w:rsid w:val="00AD6932"/>
    <w:rPr>
      <w:rFonts w:cstheme="minorHAnsi"/>
      <w:color w:val="FF0000"/>
    </w:rPr>
  </w:style>
  <w:style w:type="paragraph" w:styleId="NoSpacing">
    <w:name w:val="No Spacing"/>
    <w:aliases w:val="Script Text"/>
    <w:basedOn w:val="Normal"/>
    <w:link w:val="NoSpacingChar"/>
    <w:autoRedefine/>
    <w:uiPriority w:val="1"/>
    <w:qFormat/>
    <w:rsid w:val="00AD6932"/>
    <w:pPr>
      <w:tabs>
        <w:tab w:val="left" w:pos="2520"/>
      </w:tabs>
      <w:spacing w:after="0" w:line="240" w:lineRule="auto"/>
      <w:ind w:left="2520" w:hanging="2520"/>
    </w:pPr>
    <w:rPr>
      <w:rFonts w:ascii="Book Antiqua" w:hAnsi="Book Antiqua"/>
      <w:b/>
      <w:sz w:val="36"/>
    </w:rPr>
  </w:style>
  <w:style w:type="character" w:customStyle="1" w:styleId="NoSpacingChar">
    <w:name w:val="No Spacing Char"/>
    <w:aliases w:val="Script Text Char"/>
    <w:basedOn w:val="DefaultParagraphFont"/>
    <w:link w:val="NoSpacing"/>
    <w:uiPriority w:val="1"/>
    <w:rsid w:val="00AD6932"/>
    <w:rPr>
      <w:rFonts w:ascii="Book Antiqua" w:hAnsi="Book Antiqua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142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693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3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5Char">
    <w:name w:val="Heading 5 Char"/>
    <w:aliases w:val="Liturgy Section Heading Char"/>
    <w:basedOn w:val="DefaultParagraphFont"/>
    <w:link w:val="Heading5"/>
    <w:uiPriority w:val="9"/>
    <w:rsid w:val="00AD6932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DE4622"/>
    <w:rPr>
      <w:rFonts w:asciiTheme="majorHAnsi" w:eastAsiaTheme="majorEastAsia" w:hAnsiTheme="majorHAnsi" w:cstheme="majorBidi"/>
      <w:iCs/>
      <w:sz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D69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cript (others)"/>
    <w:basedOn w:val="Normal"/>
    <w:next w:val="Normal"/>
    <w:link w:val="SubtitleChar"/>
    <w:autoRedefine/>
    <w:uiPriority w:val="11"/>
    <w:qFormat/>
    <w:rsid w:val="00001FD2"/>
    <w:pPr>
      <w:tabs>
        <w:tab w:val="left" w:pos="1440"/>
      </w:tabs>
      <w:spacing w:after="360" w:line="240" w:lineRule="auto"/>
    </w:pPr>
    <w:rPr>
      <w:rFonts w:ascii="Book Antiqua" w:hAnsi="Book Antiqua"/>
      <w:spacing w:val="20"/>
      <w:sz w:val="36"/>
      <w:szCs w:val="18"/>
    </w:rPr>
  </w:style>
  <w:style w:type="character" w:customStyle="1" w:styleId="SubtitleChar">
    <w:name w:val="Subtitle Char"/>
    <w:aliases w:val="Script (others) Char"/>
    <w:basedOn w:val="DefaultParagraphFont"/>
    <w:link w:val="Subtitle"/>
    <w:uiPriority w:val="11"/>
    <w:rsid w:val="00001FD2"/>
    <w:rPr>
      <w:rFonts w:ascii="Book Antiqua" w:hAnsi="Book Antiqua"/>
      <w:spacing w:val="20"/>
      <w:sz w:val="36"/>
      <w:szCs w:val="18"/>
    </w:rPr>
  </w:style>
  <w:style w:type="character" w:styleId="SubtleEmphasis">
    <w:name w:val="Subtle Emphasis"/>
    <w:basedOn w:val="DefaultParagraphFont"/>
    <w:uiPriority w:val="19"/>
    <w:qFormat/>
    <w:rsid w:val="00AD6932"/>
    <w:rPr>
      <w:i/>
      <w:iCs/>
      <w:color w:val="808080" w:themeColor="text1" w:themeTint="7F"/>
    </w:rPr>
  </w:style>
  <w:style w:type="character" w:styleId="Emphasis">
    <w:name w:val="Emphasis"/>
    <w:aliases w:val="Rubrics in Red"/>
    <w:basedOn w:val="DefaultParagraphFont"/>
    <w:uiPriority w:val="20"/>
    <w:qFormat/>
    <w:rsid w:val="00AD69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D6932"/>
    <w:rPr>
      <w:b/>
      <w:bCs/>
      <w:i/>
      <w:iCs/>
      <w:color w:val="4472C4" w:themeColor="accent1"/>
    </w:rPr>
  </w:style>
  <w:style w:type="character" w:styleId="Strong">
    <w:name w:val="Strong"/>
    <w:uiPriority w:val="22"/>
    <w:qFormat/>
    <w:rsid w:val="00AD6932"/>
    <w:rPr>
      <w:rFonts w:ascii="Book Antiqua" w:hAnsi="Book Antiqua"/>
      <w:b/>
      <w:bCs/>
      <w:color w:val="0070C0"/>
      <w:spacing w:val="5"/>
      <w:sz w:val="28"/>
    </w:rPr>
  </w:style>
  <w:style w:type="paragraph" w:styleId="Quote">
    <w:name w:val="Quote"/>
    <w:aliases w:val="Script - Assembly parts"/>
    <w:basedOn w:val="Normal"/>
    <w:next w:val="Normal"/>
    <w:link w:val="QuoteChar"/>
    <w:autoRedefine/>
    <w:uiPriority w:val="29"/>
    <w:qFormat/>
    <w:rsid w:val="00AD6932"/>
    <w:pPr>
      <w:spacing w:after="0" w:line="240" w:lineRule="auto"/>
    </w:pPr>
    <w:rPr>
      <w:b/>
      <w:iCs/>
      <w:color w:val="7030A0"/>
      <w:sz w:val="32"/>
    </w:rPr>
  </w:style>
  <w:style w:type="character" w:customStyle="1" w:styleId="QuoteChar">
    <w:name w:val="Quote Char"/>
    <w:aliases w:val="Script - Assembly parts Char"/>
    <w:basedOn w:val="DefaultParagraphFont"/>
    <w:link w:val="Quote"/>
    <w:uiPriority w:val="29"/>
    <w:rsid w:val="00AD6932"/>
    <w:rPr>
      <w:b/>
      <w:iCs/>
      <w:color w:val="7030A0"/>
      <w:sz w:val="3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D6932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32"/>
    <w:rPr>
      <w:b/>
      <w:bCs/>
      <w:i/>
      <w:iCs/>
      <w:color w:val="4472C4" w:themeColor="accent1"/>
    </w:rPr>
  </w:style>
  <w:style w:type="character" w:styleId="SubtleReference">
    <w:name w:val="Subtle Reference"/>
    <w:aliases w:val="Checklist"/>
    <w:basedOn w:val="DefaultParagraphFont"/>
    <w:uiPriority w:val="31"/>
    <w:qFormat/>
    <w:rsid w:val="00AD6932"/>
    <w:rPr>
      <w:sz w:val="24"/>
    </w:rPr>
  </w:style>
  <w:style w:type="character" w:styleId="IntenseReference">
    <w:name w:val="Intense Reference"/>
    <w:aliases w:val="Rubric - Priest"/>
    <w:basedOn w:val="DefaultParagraphFont"/>
    <w:uiPriority w:val="32"/>
    <w:qFormat/>
    <w:rsid w:val="00AD6932"/>
    <w:rPr>
      <w:rFonts w:ascii="Book Antiqua" w:eastAsiaTheme="minorEastAsia" w:hAnsi="Book Antiqua" w:cstheme="minorBidi"/>
      <w:b/>
      <w:bCs/>
      <w:iCs/>
      <w:color w:val="FF0000"/>
      <w:sz w:val="32"/>
    </w:rPr>
  </w:style>
  <w:style w:type="character" w:styleId="BookTitle">
    <w:name w:val="Book Title"/>
    <w:basedOn w:val="DefaultParagraphFont"/>
    <w:uiPriority w:val="33"/>
    <w:qFormat/>
    <w:rsid w:val="00AD6932"/>
    <w:rPr>
      <w:b/>
      <w:bCs/>
      <w:smallCaps/>
      <w:spacing w:val="5"/>
    </w:rPr>
  </w:style>
  <w:style w:type="paragraph" w:styleId="ListParagraph">
    <w:name w:val="List Paragraph"/>
    <w:aliases w:val="Rubric - General"/>
    <w:basedOn w:val="Normal"/>
    <w:next w:val="Normal"/>
    <w:autoRedefine/>
    <w:uiPriority w:val="34"/>
    <w:qFormat/>
    <w:rsid w:val="00AD6932"/>
    <w:pPr>
      <w:numPr>
        <w:numId w:val="1"/>
      </w:numPr>
      <w:spacing w:after="0" w:line="240" w:lineRule="auto"/>
      <w:contextualSpacing/>
    </w:pPr>
    <w:rPr>
      <w:rFonts w:asciiTheme="majorHAnsi" w:eastAsiaTheme="majorEastAsia" w:hAnsiTheme="majorHAnsi" w:cstheme="minorHAnsi"/>
      <w:sz w:val="28"/>
    </w:rPr>
  </w:style>
  <w:style w:type="table" w:styleId="TableGrid">
    <w:name w:val="Table Grid"/>
    <w:basedOn w:val="TableNormal"/>
    <w:uiPriority w:val="39"/>
    <w:rsid w:val="00E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selector">
    <w:name w:val="Box selector"/>
    <w:basedOn w:val="Normal"/>
    <w:link w:val="BoxselectorChar"/>
    <w:qFormat/>
    <w:rsid w:val="00501B16"/>
    <w:pPr>
      <w:spacing w:after="0" w:line="240" w:lineRule="auto"/>
      <w:ind w:left="288" w:hanging="288"/>
      <w:jc w:val="left"/>
    </w:pPr>
    <w:rPr>
      <w:rFonts w:ascii="Segoe UI Emoji" w:hAnsi="Segoe UI Emoji"/>
    </w:rPr>
  </w:style>
  <w:style w:type="paragraph" w:styleId="Header">
    <w:name w:val="header"/>
    <w:basedOn w:val="Normal"/>
    <w:link w:val="Head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oxselectorChar">
    <w:name w:val="Box selector Char"/>
    <w:basedOn w:val="DefaultParagraphFont"/>
    <w:link w:val="Boxselector"/>
    <w:rsid w:val="00501B16"/>
    <w:rPr>
      <w:rFonts w:ascii="Segoe UI Emoji" w:hAnsi="Segoe UI Emoj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0930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30"/>
    <w:rPr>
      <w:sz w:val="18"/>
    </w:rPr>
  </w:style>
  <w:style w:type="character" w:styleId="Hyperlink">
    <w:name w:val="Hyperlink"/>
    <w:basedOn w:val="DefaultParagraphFont"/>
    <w:uiPriority w:val="99"/>
    <w:unhideWhenUsed/>
    <w:rsid w:val="00257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rankspeech.com/video/training-missouri-election-watch-machine-public-tes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ac.gov/news/2022/05/20/eac-approves-measure-address-missouri-voting-machine-anoma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sa.gov/uscert/ics/advisories/icsa-22-154-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use.America.MO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Rantz</dc:creator>
  <cp:keywords/>
  <dc:description/>
  <cp:lastModifiedBy>Linda Rantz</cp:lastModifiedBy>
  <cp:revision>75</cp:revision>
  <cp:lastPrinted>2022-07-17T00:04:00Z</cp:lastPrinted>
  <dcterms:created xsi:type="dcterms:W3CDTF">2022-07-14T00:10:00Z</dcterms:created>
  <dcterms:modified xsi:type="dcterms:W3CDTF">2022-10-01T20:49:00Z</dcterms:modified>
</cp:coreProperties>
</file>